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Default="002B469C" w:rsidP="00B72DB2">
      <w:pPr>
        <w:rPr>
          <w:sz w:val="28"/>
          <w:szCs w:val="28"/>
        </w:rPr>
      </w:pPr>
    </w:p>
    <w:p w:rsidR="00E124AA" w:rsidRDefault="00E124AA" w:rsidP="00B72DB2">
      <w:pPr>
        <w:rPr>
          <w:sz w:val="27"/>
          <w:szCs w:val="27"/>
        </w:rPr>
      </w:pPr>
    </w:p>
    <w:p w:rsidR="00E124AA" w:rsidRDefault="00E124AA" w:rsidP="00B72DB2">
      <w:pPr>
        <w:rPr>
          <w:sz w:val="27"/>
          <w:szCs w:val="27"/>
        </w:rPr>
      </w:pPr>
    </w:p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393339" w:rsidRDefault="00286401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35040A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40A">
        <w:rPr>
          <w:sz w:val="28"/>
          <w:szCs w:val="28"/>
        </w:rPr>
        <w:t xml:space="preserve">В соответствии с требованиями раздела </w:t>
      </w:r>
      <w:r w:rsidRPr="0035040A">
        <w:rPr>
          <w:sz w:val="28"/>
          <w:szCs w:val="28"/>
          <w:lang w:val="en-US"/>
        </w:rPr>
        <w:t>III</w:t>
      </w:r>
      <w:r w:rsidRPr="0035040A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Тверской области от 16.11.2016 № 70, на основании пункта 1 Плана проведения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на 2017 год, отделом экономики, предпринимательской</w:t>
      </w:r>
      <w:proofErr w:type="gramEnd"/>
      <w:r w:rsidRPr="0035040A">
        <w:rPr>
          <w:sz w:val="28"/>
          <w:szCs w:val="28"/>
        </w:rPr>
        <w:t xml:space="preserve"> </w:t>
      </w:r>
      <w:proofErr w:type="gramStart"/>
      <w:r w:rsidRPr="0035040A">
        <w:rPr>
          <w:sz w:val="28"/>
          <w:szCs w:val="28"/>
        </w:rPr>
        <w:t xml:space="preserve">деятельности и инвестиций Администрации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(далее – отдел экономики) организовано проведение публичных консультаций в отношении </w:t>
      </w:r>
      <w:r w:rsidRPr="00E302B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E302B3">
        <w:rPr>
          <w:sz w:val="28"/>
          <w:szCs w:val="28"/>
        </w:rPr>
        <w:t xml:space="preserve"> Собрания депутатов </w:t>
      </w:r>
      <w:proofErr w:type="spellStart"/>
      <w:r w:rsidRPr="00E302B3">
        <w:rPr>
          <w:sz w:val="28"/>
          <w:szCs w:val="28"/>
        </w:rPr>
        <w:t>Кашинского</w:t>
      </w:r>
      <w:proofErr w:type="spellEnd"/>
      <w:r w:rsidRPr="00E302B3">
        <w:rPr>
          <w:sz w:val="28"/>
          <w:szCs w:val="28"/>
        </w:rPr>
        <w:t xml:space="preserve"> района Тверской области от 27.01.2015 № 295 «Об утверждении перечня значений коэффициента социально-экономических особенностей при определении размера арендной платы за пользование земельными участками, государственная собственность на которые не разграничена, на территории МО «</w:t>
      </w:r>
      <w:proofErr w:type="spellStart"/>
      <w:r w:rsidRPr="00E302B3">
        <w:rPr>
          <w:sz w:val="28"/>
          <w:szCs w:val="28"/>
        </w:rPr>
        <w:t>Кашинский</w:t>
      </w:r>
      <w:proofErr w:type="spellEnd"/>
      <w:r w:rsidRPr="00E302B3">
        <w:rPr>
          <w:sz w:val="28"/>
          <w:szCs w:val="28"/>
        </w:rPr>
        <w:t xml:space="preserve"> район» Тверской области на 2015 год»</w:t>
      </w:r>
      <w:r w:rsidRPr="0035040A">
        <w:rPr>
          <w:sz w:val="28"/>
          <w:szCs w:val="28"/>
        </w:rPr>
        <w:t xml:space="preserve"> (далее также нормативный</w:t>
      </w:r>
      <w:proofErr w:type="gramEnd"/>
      <w:r w:rsidRPr="0035040A">
        <w:rPr>
          <w:sz w:val="28"/>
          <w:szCs w:val="28"/>
        </w:rPr>
        <w:t xml:space="preserve"> правовой акт).</w:t>
      </w:r>
    </w:p>
    <w:p w:rsidR="00650D60" w:rsidRPr="0035040A" w:rsidRDefault="00650D60" w:rsidP="00650D60">
      <w:pPr>
        <w:ind w:firstLine="708"/>
        <w:jc w:val="both"/>
        <w:rPr>
          <w:bCs/>
          <w:sz w:val="28"/>
          <w:szCs w:val="28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Pr="00E302B3">
        <w:rPr>
          <w:sz w:val="28"/>
          <w:szCs w:val="28"/>
        </w:rPr>
        <w:t xml:space="preserve">Решение Собрания депутатов </w:t>
      </w:r>
      <w:proofErr w:type="spellStart"/>
      <w:r w:rsidRPr="00E302B3">
        <w:rPr>
          <w:sz w:val="28"/>
          <w:szCs w:val="28"/>
        </w:rPr>
        <w:t>Кашинского</w:t>
      </w:r>
      <w:proofErr w:type="spellEnd"/>
      <w:r w:rsidRPr="00E302B3">
        <w:rPr>
          <w:sz w:val="28"/>
          <w:szCs w:val="28"/>
        </w:rPr>
        <w:t xml:space="preserve"> района Тверской области от 27.01.2015 № 295 «Об утверждении перечня значений коэффициента социально-экономических</w:t>
      </w:r>
      <w:proofErr w:type="gramEnd"/>
      <w:r w:rsidRPr="00E302B3">
        <w:rPr>
          <w:sz w:val="28"/>
          <w:szCs w:val="28"/>
        </w:rPr>
        <w:t xml:space="preserve"> особенностей при определении размера арендной платы за пользование земельными участками, государственная собственность на которые не разграничена, на территории МО «</w:t>
      </w:r>
      <w:proofErr w:type="spellStart"/>
      <w:r w:rsidRPr="00E302B3">
        <w:rPr>
          <w:sz w:val="28"/>
          <w:szCs w:val="28"/>
        </w:rPr>
        <w:t>Кашинский</w:t>
      </w:r>
      <w:proofErr w:type="spellEnd"/>
      <w:r w:rsidRPr="00E302B3">
        <w:rPr>
          <w:sz w:val="28"/>
          <w:szCs w:val="28"/>
        </w:rPr>
        <w:t xml:space="preserve"> район» Тверской области на 2015 год»</w:t>
      </w:r>
      <w:r>
        <w:rPr>
          <w:sz w:val="28"/>
          <w:szCs w:val="28"/>
        </w:rPr>
        <w:t>.</w:t>
      </w:r>
    </w:p>
    <w:p w:rsidR="000D0515" w:rsidRPr="00286401" w:rsidRDefault="000D0515" w:rsidP="000D0515">
      <w:pPr>
        <w:jc w:val="both"/>
        <w:rPr>
          <w:bCs/>
          <w:color w:val="26282F"/>
          <w:sz w:val="27"/>
          <w:szCs w:val="27"/>
        </w:rPr>
      </w:pPr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E52631" w:rsidRPr="002A54E6" w:rsidRDefault="00E52631" w:rsidP="006E5F69">
      <w:pPr>
        <w:jc w:val="both"/>
        <w:rPr>
          <w:sz w:val="28"/>
          <w:szCs w:val="28"/>
        </w:rPr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6E5F69" w:rsidRPr="00332704" w:rsidRDefault="006E5F69" w:rsidP="006E5F69">
      <w:pPr>
        <w:jc w:val="both"/>
      </w:pP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2</cp:revision>
  <cp:lastPrinted>2016-12-27T13:24:00Z</cp:lastPrinted>
  <dcterms:created xsi:type="dcterms:W3CDTF">2017-06-20T10:19:00Z</dcterms:created>
  <dcterms:modified xsi:type="dcterms:W3CDTF">2017-06-20T10:19:00Z</dcterms:modified>
</cp:coreProperties>
</file>