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jc w:val="center"/>
        <w:tblLayout w:type="fixed"/>
      </w:tblPr>
      <w:tblGrid>
        <w:gridCol w:w="5637"/>
        <w:gridCol w:w="425"/>
        <w:gridCol w:w="3402"/>
        <w:gridCol w:w="425"/>
      </w:tblGrid>
      <w:tr>
        <w:tc>
          <w:tcPr>
            <w:tcW w:type="dxa" w:w="9889"/>
            <w:gridSpan w:val="4"/>
          </w:tcPr>
          <w:p w14:paraId="01000000">
            <w:pPr>
              <w:widowControl w:val="1"/>
              <w:spacing w:line="288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6"/>
              </w:rPr>
              <w:drawing>
                <wp:inline>
                  <wp:extent cx="673227" cy="83350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673227" cy="833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0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ДУМА </w:t>
            </w:r>
            <w:r>
              <w:rPr>
                <w:rFonts w:ascii="Times New Roman" w:hAnsi="Times New Roman"/>
                <w:b w:val="1"/>
                <w:sz w:val="28"/>
              </w:rPr>
              <w:t>КАШИНСК</w:t>
            </w:r>
            <w:r>
              <w:rPr>
                <w:rFonts w:ascii="Times New Roman" w:hAnsi="Times New Roman"/>
                <w:b w:val="1"/>
                <w:sz w:val="28"/>
              </w:rPr>
              <w:t>ОГО МУНИЦИПАЛЬНОГО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ОКРУГА</w:t>
            </w:r>
          </w:p>
          <w:p w14:paraId="03000000">
            <w:pPr>
              <w:widowControl w:val="1"/>
              <w:spacing w:line="288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ТВЕРСКОЙ</w:t>
            </w:r>
            <w:r>
              <w:rPr>
                <w:rFonts w:ascii="Times New Roman" w:hAnsi="Times New Roman"/>
                <w:b w:val="1"/>
                <w:sz w:val="28"/>
              </w:rPr>
              <w:t xml:space="preserve"> ОБЛАСТ</w:t>
            </w:r>
            <w:r>
              <w:rPr>
                <w:rFonts w:ascii="Times New Roman" w:hAnsi="Times New Roman"/>
                <w:b w:val="1"/>
                <w:sz w:val="28"/>
              </w:rPr>
              <w:t>И</w:t>
            </w:r>
          </w:p>
          <w:p w14:paraId="0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0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0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 Е Ш Е Н И Е</w:t>
            </w:r>
          </w:p>
          <w:p w14:paraId="0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08000000">
            <w:pPr>
              <w:widowControl w:val="1"/>
              <w:tabs>
                <w:tab w:leader="none" w:pos="2552" w:val="left"/>
                <w:tab w:leader="none" w:pos="4536" w:val="center"/>
                <w:tab w:leader="none" w:pos="7513" w:val="left"/>
                <w:tab w:leader="none" w:pos="8040" w:val="left"/>
                <w:tab w:leader="none" w:pos="9072" w:val="left"/>
              </w:tabs>
              <w:spacing w:line="360" w:lineRule="auto"/>
              <w:ind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 29.09.2026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</w:rPr>
              <w:t>г. Кашин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>№</w:t>
            </w:r>
            <w:r>
              <w:rPr>
                <w:rFonts w:ascii="Times New Roman" w:hAnsi="Times New Roman"/>
                <w:sz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  <w:u w:val="single"/>
              </w:rPr>
              <w:t>233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8"/>
                <w:u w:val="single"/>
              </w:rPr>
              <w:tab/>
            </w:r>
          </w:p>
        </w:tc>
      </w:tr>
      <w:tr>
        <w:tc>
          <w:tcPr>
            <w:tcW w:type="dxa" w:w="5637"/>
            <w:shd w:fill="auto" w:val="clear"/>
          </w:tcPr>
          <w:p w14:paraId="09000000">
            <w:pPr>
              <w:widowControl w:val="0"/>
              <w:ind w:right="101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25"/>
            <w:shd w:fill="auto" w:val="clear"/>
          </w:tcPr>
          <w:p w14:paraId="0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402"/>
            <w:shd w:fill="auto" w:val="clear"/>
          </w:tcPr>
          <w:p w14:paraId="0B000000">
            <w:pPr>
              <w:widowControl w:val="0"/>
              <w:tabs>
                <w:tab w:leader="none" w:pos="4358" w:val="left"/>
              </w:tabs>
              <w:ind w:right="-2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25"/>
          </w:tcPr>
          <w:p/>
        </w:tc>
      </w:tr>
      <w:tr>
        <w:tc>
          <w:tcPr>
            <w:tcW w:type="dxa" w:w="5637"/>
            <w:shd w:fill="auto" w:val="clear"/>
          </w:tcPr>
          <w:p w14:paraId="0C000000">
            <w:pPr>
              <w:widowControl w:val="1"/>
              <w:tabs>
                <w:tab w:leader="none" w:pos="3828" w:val="left"/>
                <w:tab w:leader="none" w:pos="4111" w:val="left"/>
                <w:tab w:leader="none" w:pos="4253" w:val="left"/>
              </w:tabs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 согласовании замены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расчетного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объема</w:t>
            </w:r>
            <w:r>
              <w:rPr>
                <w:rFonts w:ascii="Times New Roman" w:hAnsi="Times New Roman"/>
                <w:sz w:val="26"/>
              </w:rPr>
              <w:t xml:space="preserve"> дотации на </w:t>
            </w:r>
            <w:r>
              <w:rPr>
                <w:rFonts w:ascii="Times New Roman" w:hAnsi="Times New Roman"/>
                <w:sz w:val="26"/>
              </w:rPr>
              <w:t>выравнивание</w:t>
            </w:r>
            <w:r>
              <w:rPr>
                <w:rFonts w:ascii="Times New Roman" w:hAnsi="Times New Roman"/>
                <w:sz w:val="26"/>
              </w:rPr>
              <w:t xml:space="preserve"> бюджетной </w:t>
            </w:r>
          </w:p>
          <w:p w14:paraId="0D000000">
            <w:pPr>
              <w:widowControl w:val="1"/>
              <w:tabs>
                <w:tab w:leader="none" w:pos="3828" w:val="left"/>
              </w:tabs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обеспеченности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 xml:space="preserve">в Кашинском </w:t>
            </w:r>
            <w:r>
              <w:rPr>
                <w:rFonts w:ascii="Times New Roman" w:hAnsi="Times New Roman"/>
                <w:sz w:val="26"/>
              </w:rPr>
              <w:t>муниципальном</w:t>
            </w:r>
            <w:r>
              <w:rPr>
                <w:rFonts w:ascii="Times New Roman" w:hAnsi="Times New Roman"/>
                <w:sz w:val="26"/>
              </w:rPr>
              <w:t xml:space="preserve"> округе Тверской области на очередной 202</w:t>
            </w:r>
            <w:r>
              <w:rPr>
                <w:rFonts w:ascii="Times New Roman" w:hAnsi="Times New Roman"/>
                <w:sz w:val="26"/>
              </w:rPr>
              <w:t>7</w:t>
            </w:r>
            <w:r>
              <w:rPr>
                <w:rFonts w:ascii="Times New Roman" w:hAnsi="Times New Roman"/>
                <w:sz w:val="26"/>
              </w:rPr>
              <w:t xml:space="preserve"> финансовый год и </w:t>
            </w:r>
            <w:r>
              <w:rPr>
                <w:rFonts w:ascii="Times New Roman" w:hAnsi="Times New Roman"/>
                <w:sz w:val="26"/>
              </w:rPr>
              <w:t xml:space="preserve">на </w:t>
            </w:r>
            <w:r>
              <w:rPr>
                <w:rFonts w:ascii="Times New Roman" w:hAnsi="Times New Roman"/>
                <w:sz w:val="26"/>
              </w:rPr>
              <w:t>плановый период 202</w:t>
            </w:r>
            <w:r>
              <w:rPr>
                <w:rFonts w:ascii="Times New Roman" w:hAnsi="Times New Roman"/>
                <w:sz w:val="26"/>
              </w:rPr>
              <w:t>8</w:t>
            </w:r>
            <w:r>
              <w:rPr>
                <w:rFonts w:ascii="Times New Roman" w:hAnsi="Times New Roman"/>
                <w:sz w:val="26"/>
              </w:rPr>
              <w:t xml:space="preserve"> и 202</w:t>
            </w:r>
            <w:r>
              <w:rPr>
                <w:rFonts w:ascii="Times New Roman" w:hAnsi="Times New Roman"/>
                <w:sz w:val="26"/>
              </w:rPr>
              <w:t>9</w:t>
            </w:r>
            <w:r>
              <w:rPr>
                <w:rFonts w:ascii="Times New Roman" w:hAnsi="Times New Roman"/>
                <w:sz w:val="26"/>
              </w:rPr>
              <w:t xml:space="preserve"> годов </w:t>
            </w:r>
            <w:r>
              <w:rPr>
                <w:rFonts w:ascii="Times New Roman" w:hAnsi="Times New Roman"/>
                <w:sz w:val="26"/>
              </w:rPr>
              <w:t>дополнительным нормативом отчислений от налога на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доходы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 xml:space="preserve"> физических лиц</w:t>
            </w:r>
          </w:p>
          <w:p w14:paraId="0E000000">
            <w:pPr>
              <w:widowControl w:val="0"/>
              <w:ind w:right="101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type="dxa" w:w="425"/>
            <w:shd w:fill="auto" w:val="clear"/>
          </w:tcPr>
          <w:p w14:paraId="0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type="dxa" w:w="3402"/>
            <w:shd w:fill="auto" w:val="clear"/>
          </w:tcPr>
          <w:p w14:paraId="10000000">
            <w:pPr>
              <w:widowControl w:val="0"/>
              <w:tabs>
                <w:tab w:leader="none" w:pos="4358" w:val="left"/>
              </w:tabs>
              <w:ind w:right="-2"/>
              <w:jc w:val="right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type="dxa" w:w="425"/>
          </w:tcPr>
          <w:p/>
        </w:tc>
      </w:tr>
      <w:tr>
        <w:tc>
          <w:tcPr>
            <w:tcW w:type="dxa" w:w="5637"/>
            <w:shd w:fill="auto" w:val="clear"/>
          </w:tcPr>
          <w:p w14:paraId="11000000">
            <w:pPr>
              <w:widowControl w:val="0"/>
              <w:ind w:right="101"/>
              <w:rPr>
                <w:rFonts w:ascii="Times New Roman" w:hAnsi="Times New Roman"/>
                <w:b w:val="1"/>
                <w:sz w:val="28"/>
                <w:highlight w:val="yellow"/>
              </w:rPr>
            </w:pPr>
          </w:p>
        </w:tc>
        <w:tc>
          <w:tcPr>
            <w:tcW w:type="dxa" w:w="425"/>
            <w:shd w:fill="auto" w:val="clear"/>
          </w:tcPr>
          <w:p w14:paraId="1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type="dxa" w:w="3402"/>
            <w:shd w:fill="auto" w:val="clear"/>
          </w:tcPr>
          <w:p w14:paraId="13000000">
            <w:pPr>
              <w:widowControl w:val="0"/>
              <w:tabs>
                <w:tab w:leader="none" w:pos="4358" w:val="left"/>
              </w:tabs>
              <w:ind w:right="-2"/>
              <w:jc w:val="right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type="dxa" w:w="425"/>
          </w:tcPr>
          <w:p/>
        </w:tc>
      </w:tr>
    </w:tbl>
    <w:p w14:paraId="14000000">
      <w:pPr>
        <w:widowControl w:val="0"/>
        <w:tabs>
          <w:tab w:leader="none" w:pos="10205" w:val="left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138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Бюджетного кодекса Российской Федерации</w:t>
      </w:r>
    </w:p>
    <w:tbl>
      <w:tblPr>
        <w:tblStyle w:val="Style_1"/>
        <w:tblW w:type="auto" w:w="0"/>
        <w:tblLayout w:type="fixed"/>
      </w:tblPr>
      <w:tblGrid>
        <w:gridCol w:w="250"/>
        <w:gridCol w:w="9072"/>
        <w:gridCol w:w="1418"/>
      </w:tblGrid>
      <w:tr>
        <w:tc>
          <w:tcPr>
            <w:tcW w:type="dxa" w:w="250"/>
            <w:shd w:fill="auto" w:val="clear"/>
          </w:tcPr>
          <w:p w14:paraId="15000000">
            <w:pPr>
              <w:widowControl w:val="0"/>
              <w:tabs>
                <w:tab w:leader="none" w:pos="10205" w:val="left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072"/>
            <w:shd w:fill="auto" w:val="clear"/>
          </w:tcPr>
          <w:p w14:paraId="16000000">
            <w:pPr>
              <w:widowControl w:val="0"/>
              <w:tabs>
                <w:tab w:leader="none" w:pos="10205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18"/>
            <w:shd w:fill="auto" w:val="clear"/>
          </w:tcPr>
          <w:p w14:paraId="17000000">
            <w:pPr>
              <w:widowControl w:val="0"/>
              <w:tabs>
                <w:tab w:leader="none" w:pos="10205" w:val="left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50"/>
            <w:shd w:fill="auto" w:val="clear"/>
          </w:tcPr>
          <w:p w14:paraId="18000000">
            <w:pPr>
              <w:widowControl w:val="0"/>
              <w:tabs>
                <w:tab w:leader="none" w:pos="10205" w:val="left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072"/>
            <w:shd w:fill="auto" w:val="clear"/>
          </w:tcPr>
          <w:p w14:paraId="19000000">
            <w:pPr>
              <w:widowControl w:val="1"/>
              <w:ind/>
              <w:jc w:val="center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b w:val="1"/>
                <w:caps w:val="1"/>
                <w:color w:val="000000"/>
                <w:sz w:val="28"/>
              </w:rPr>
              <w:t>Дума Кашинского муниципального округа</w:t>
            </w:r>
            <w:r>
              <w:rPr>
                <w:rFonts w:ascii="XO Thames" w:hAnsi="XO Thames"/>
                <w:b w:val="1"/>
                <w:caps w:val="1"/>
                <w:color w:val="000000"/>
                <w:sz w:val="28"/>
              </w:rPr>
              <w:t xml:space="preserve"> </w:t>
            </w:r>
            <w:r>
              <w:rPr>
                <w:rFonts w:ascii="XO Thames" w:hAnsi="XO Thames"/>
                <w:b w:val="1"/>
                <w:caps w:val="1"/>
                <w:color w:val="000000"/>
                <w:sz w:val="28"/>
              </w:rPr>
              <w:t>ТВЕРСКОЙ ОБЛАСТИ</w:t>
            </w:r>
            <w:r>
              <w:rPr>
                <w:rFonts w:ascii="XO Thames" w:hAnsi="XO Thames"/>
                <w:b w:val="1"/>
                <w:color w:val="000000"/>
                <w:sz w:val="28"/>
              </w:rPr>
              <w:t xml:space="preserve"> РЕШИЛА: </w:t>
            </w:r>
          </w:p>
          <w:p w14:paraId="1A000000">
            <w:pPr>
              <w:widowControl w:val="0"/>
              <w:tabs>
                <w:tab w:leader="none" w:pos="10205" w:val="left"/>
              </w:tabs>
              <w:ind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418"/>
            <w:shd w:fill="auto" w:val="clear"/>
          </w:tcPr>
          <w:p w14:paraId="1B000000">
            <w:pPr>
              <w:widowControl w:val="0"/>
              <w:tabs>
                <w:tab w:leader="none" w:pos="10205" w:val="left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50"/>
            <w:shd w:fill="auto" w:val="clear"/>
          </w:tcPr>
          <w:p w14:paraId="1C000000">
            <w:pPr>
              <w:widowControl w:val="0"/>
              <w:tabs>
                <w:tab w:leader="none" w:pos="10205" w:val="left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072"/>
            <w:shd w:fill="auto" w:val="clear"/>
          </w:tcPr>
          <w:p w14:paraId="1D000000">
            <w:pPr>
              <w:widowControl w:val="0"/>
              <w:tabs>
                <w:tab w:leader="none" w:pos="10205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18"/>
            <w:shd w:fill="auto" w:val="clear"/>
          </w:tcPr>
          <w:p w14:paraId="1E000000">
            <w:pPr>
              <w:widowControl w:val="0"/>
              <w:tabs>
                <w:tab w:leader="none" w:pos="10205" w:val="left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F000000">
      <w:pPr>
        <w:widowControl w:val="1"/>
        <w:tabs>
          <w:tab w:leader="none" w:pos="851" w:val="left"/>
          <w:tab w:leader="none" w:pos="1134" w:val="left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Согласовать замену расчетного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объема</w:t>
      </w:r>
      <w:r>
        <w:rPr>
          <w:rFonts w:ascii="Times New Roman" w:hAnsi="Times New Roman"/>
          <w:sz w:val="28"/>
        </w:rPr>
        <w:t xml:space="preserve"> до</w:t>
      </w:r>
      <w:r>
        <w:rPr>
          <w:rFonts w:ascii="Times New Roman" w:hAnsi="Times New Roman"/>
          <w:sz w:val="28"/>
        </w:rPr>
        <w:t xml:space="preserve">тации на выравнивание бюджетной </w:t>
      </w:r>
      <w:r>
        <w:rPr>
          <w:rFonts w:ascii="Times New Roman" w:hAnsi="Times New Roman"/>
          <w:sz w:val="28"/>
        </w:rPr>
        <w:t xml:space="preserve">обеспеченности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муниципальном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Тверской области </w:t>
      </w:r>
      <w:r>
        <w:rPr>
          <w:rFonts w:ascii="Times New Roman" w:hAnsi="Times New Roman"/>
          <w:sz w:val="28"/>
        </w:rPr>
        <w:t>на очередной 202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финан</w:t>
      </w:r>
      <w:r>
        <w:rPr>
          <w:rFonts w:ascii="Times New Roman" w:hAnsi="Times New Roman"/>
          <w:sz w:val="28"/>
        </w:rPr>
        <w:t>совый год и</w:t>
      </w:r>
      <w:r>
        <w:rPr>
          <w:rFonts w:ascii="Times New Roman" w:hAnsi="Times New Roman"/>
          <w:sz w:val="28"/>
        </w:rPr>
        <w:t xml:space="preserve"> на </w:t>
      </w:r>
      <w:r>
        <w:rPr>
          <w:rFonts w:ascii="Times New Roman" w:hAnsi="Times New Roman"/>
          <w:sz w:val="28"/>
        </w:rPr>
        <w:t xml:space="preserve"> плановый период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и 202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годов дополнительным нормативом отчи</w:t>
      </w:r>
      <w:r>
        <w:rPr>
          <w:rFonts w:ascii="Times New Roman" w:hAnsi="Times New Roman"/>
          <w:sz w:val="28"/>
        </w:rPr>
        <w:t xml:space="preserve">слений </w:t>
      </w:r>
      <w:r>
        <w:rPr>
          <w:rFonts w:ascii="Times New Roman" w:hAnsi="Times New Roman"/>
          <w:sz w:val="28"/>
        </w:rPr>
        <w:t>от налога на доходы физических лиц.</w:t>
      </w:r>
    </w:p>
    <w:p w14:paraId="20000000">
      <w:pPr>
        <w:widowControl w:val="1"/>
        <w:tabs>
          <w:tab w:leader="none" w:pos="851" w:val="left"/>
          <w:tab w:leader="none" w:pos="1134" w:val="left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 </w:t>
      </w:r>
      <w:r>
        <w:rPr>
          <w:rFonts w:ascii="Times New Roman" w:hAnsi="Times New Roman"/>
          <w:sz w:val="28"/>
        </w:rPr>
        <w:t xml:space="preserve">Настоящее решение вступает в силу со дня его </w:t>
      </w:r>
      <w:r>
        <w:rPr>
          <w:rFonts w:ascii="Times New Roman" w:hAnsi="Times New Roman"/>
          <w:sz w:val="28"/>
        </w:rPr>
        <w:t>принятия</w:t>
      </w:r>
      <w:r>
        <w:rPr>
          <w:rFonts w:ascii="Times New Roman" w:hAnsi="Times New Roman"/>
          <w:sz w:val="28"/>
        </w:rPr>
        <w:t xml:space="preserve">, подлежит официальному опубликованию в газете «Кашинская газета»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размещению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официальном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t xml:space="preserve"> 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sz w:val="28"/>
        </w:rPr>
        <w:t xml:space="preserve"> 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информационно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телекоммуникационной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сети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Интерн</w:t>
      </w:r>
      <w:r>
        <w:rPr>
          <w:rFonts w:ascii="Times New Roman" w:hAnsi="Times New Roman"/>
          <w:sz w:val="28"/>
        </w:rPr>
        <w:t>ет»</w:t>
      </w:r>
      <w:r>
        <w:rPr>
          <w:rFonts w:ascii="Times New Roman" w:hAnsi="Times New Roman"/>
          <w:sz w:val="28"/>
        </w:rPr>
        <w:t>.</w:t>
      </w:r>
    </w:p>
    <w:p w14:paraId="21000000">
      <w:pPr>
        <w:widowControl w:val="1"/>
        <w:tabs>
          <w:tab w:leader="none" w:pos="851" w:val="left"/>
          <w:tab w:leader="none" w:pos="1134" w:val="left"/>
        </w:tabs>
        <w:ind w:firstLine="709"/>
        <w:jc w:val="both"/>
        <w:rPr>
          <w:rFonts w:ascii="Times New Roman" w:hAnsi="Times New Roman"/>
          <w:sz w:val="28"/>
        </w:rPr>
      </w:pPr>
    </w:p>
    <w:p w14:paraId="22000000">
      <w:pPr>
        <w:widowControl w:val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</w:t>
      </w:r>
      <w:r>
        <w:rPr>
          <w:rFonts w:ascii="Times New Roman" w:hAnsi="Times New Roman"/>
          <w:sz w:val="28"/>
        </w:rPr>
        <w:t xml:space="preserve">Думы Кашинского </w:t>
      </w:r>
      <w:r>
        <w:rPr>
          <w:rFonts w:ascii="Times New Roman" w:hAnsi="Times New Roman"/>
          <w:sz w:val="28"/>
        </w:rPr>
        <w:t xml:space="preserve"> </w:t>
      </w:r>
    </w:p>
    <w:p w14:paraId="23000000">
      <w:pPr>
        <w:widowControl w:val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униципального</w:t>
      </w:r>
      <w:r>
        <w:rPr>
          <w:rFonts w:ascii="Times New Roman" w:hAnsi="Times New Roman"/>
          <w:sz w:val="28"/>
        </w:rPr>
        <w:t xml:space="preserve"> округа Тверской области</w:t>
      </w:r>
      <w:r>
        <w:rPr>
          <w:rFonts w:ascii="Times New Roman" w:hAnsi="Times New Roman"/>
          <w:sz w:val="28"/>
        </w:rPr>
        <w:t xml:space="preserve">                               </w:t>
      </w:r>
      <w:r>
        <w:rPr>
          <w:rFonts w:ascii="Times New Roman" w:hAnsi="Times New Roman"/>
          <w:sz w:val="28"/>
        </w:rPr>
        <w:t xml:space="preserve">И. А. </w:t>
      </w:r>
      <w:r>
        <w:rPr>
          <w:rFonts w:ascii="Times New Roman" w:hAnsi="Times New Roman"/>
          <w:sz w:val="28"/>
        </w:rPr>
        <w:t>Мурашова</w:t>
      </w:r>
    </w:p>
    <w:p w14:paraId="24000000">
      <w:pPr>
        <w:rPr>
          <w:rFonts w:ascii="Times New Roman" w:hAnsi="Times New Roman"/>
          <w:sz w:val="28"/>
        </w:rPr>
      </w:pPr>
    </w:p>
    <w:p w14:paraId="2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Кашинского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муниципального </w:t>
      </w:r>
    </w:p>
    <w:p w14:paraId="26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круга Тверской области      </w:t>
      </w:r>
      <w:r>
        <w:rPr>
          <w:rFonts w:ascii="Times New Roman" w:hAnsi="Times New Roman"/>
          <w:sz w:val="28"/>
        </w:rPr>
        <w:t xml:space="preserve">                                                </w:t>
      </w: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. В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Рагузин</w:t>
      </w:r>
    </w:p>
    <w:p w14:paraId="27000000">
      <w:pPr>
        <w:widowControl w:val="0"/>
        <w:tabs>
          <w:tab w:leader="none" w:pos="9639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sectPr>
      <w:pgSz w:h="16838" w:orient="portrait" w:w="11906"/>
      <w:pgMar w:bottom="1134" w:footer="720" w:gutter="0" w:header="720" w:left="1701" w:right="567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ms Rmn" w:hAnsi="Tms Rmn"/>
    </w:rPr>
  </w:style>
  <w:style w:default="1" w:styleId="Style_2_ch" w:type="character">
    <w:name w:val="Normal"/>
    <w:link w:val="Style_2"/>
    <w:rPr>
      <w:rFonts w:ascii="Tms Rmn" w:hAnsi="Tms Rmn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ConsPlusNormal"/>
    <w:link w:val="Style_10_ch"/>
    <w:rPr>
      <w:sz w:val="28"/>
    </w:rPr>
  </w:style>
  <w:style w:styleId="Style_10_ch" w:type="character">
    <w:name w:val="ConsPlusNormal"/>
    <w:link w:val="Style_10"/>
    <w:rPr>
      <w:sz w:val="28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widowControl w:val="1"/>
      <w:spacing w:before="120" w:line="360" w:lineRule="auto"/>
      <w:ind/>
      <w:jc w:val="center"/>
      <w:outlineLvl w:val="0"/>
    </w:pPr>
    <w:rPr>
      <w:rFonts w:ascii="Arial" w:hAnsi="Arial"/>
      <w:b w:val="1"/>
      <w:sz w:val="30"/>
    </w:rPr>
  </w:style>
  <w:style w:styleId="Style_13_ch" w:type="character">
    <w:name w:val="heading 1"/>
    <w:basedOn w:val="Style_2_ch"/>
    <w:link w:val="Style_13"/>
    <w:rPr>
      <w:rFonts w:ascii="Arial" w:hAnsi="Arial"/>
      <w:b w:val="1"/>
      <w:sz w:val="30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Balloon Text"/>
    <w:basedOn w:val="Style_2"/>
    <w:link w:val="Style_18_ch"/>
    <w:rPr>
      <w:rFonts w:ascii="Tahoma" w:hAnsi="Tahoma"/>
      <w:sz w:val="16"/>
    </w:rPr>
  </w:style>
  <w:style w:styleId="Style_18_ch" w:type="character">
    <w:name w:val="Balloon Text"/>
    <w:basedOn w:val="Style_2_ch"/>
    <w:link w:val="Style_18"/>
    <w:rPr>
      <w:rFonts w:ascii="Tahoma" w:hAnsi="Tahoma"/>
      <w:sz w:val="16"/>
    </w:rPr>
  </w:style>
  <w:style w:styleId="Style_19" w:type="paragraph">
    <w:name w:val="toc 9"/>
    <w:next w:val="Style_2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media/1.png" Type="http://schemas.openxmlformats.org/officeDocument/2006/relationships/image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2026-09-29T12:15:08Z</dcterms:created>
  <dcterms:modified xsi:type="dcterms:W3CDTF">2026-09-29T12:15:56Z</dcterms:modified>
</cp:coreProperties>
</file>