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jc w:val="left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1"/>
        <w:gridCol w:w="1635"/>
        <w:gridCol w:w="1800"/>
        <w:gridCol w:w="1086"/>
        <w:gridCol w:w="2394"/>
        <w:gridCol w:w="687"/>
        <w:gridCol w:w="1498"/>
      </w:tblGrid>
      <w:tr>
        <w:trPr>
          <w:trHeight w:hRule="atLeast" w:val="360"/>
        </w:trPr>
        <w:tc>
          <w:tcPr>
            <w:tcW w:type="dxa" w:w="9641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sz w:val="28"/>
              </w:rPr>
            </w:pPr>
            <w:r>
              <w:rPr>
                <w:rFonts w:ascii="XO Thames" w:hAnsi="XO Thames"/>
                <w:sz w:val="28"/>
              </w:rPr>
              <w:drawing>
                <wp:inline>
                  <wp:extent cx="571500" cy="723897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571500" cy="7238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2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АДМИНИСТРАЦИЯ  КАШИНСКОГО  МУНИЦИПАЛЬНОГО  ОКРУГА</w:t>
            </w:r>
          </w:p>
          <w:p w14:paraId="03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sz w:val="24"/>
              </w:rPr>
            </w:pPr>
            <w:r>
              <w:rPr>
                <w:rFonts w:ascii="XO Thames" w:hAnsi="XO Thames"/>
                <w:b w:val="1"/>
                <w:sz w:val="24"/>
              </w:rPr>
              <w:t>ТВЕРСКОЙ  ОБЛАСТИ</w:t>
            </w:r>
          </w:p>
          <w:p w14:paraId="04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sz w:val="32"/>
              </w:rPr>
            </w:pPr>
          </w:p>
          <w:p w14:paraId="05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b w:val="1"/>
                <w:sz w:val="32"/>
              </w:rPr>
            </w:pPr>
            <w:r>
              <w:rPr>
                <w:rFonts w:ascii="XO Thames" w:hAnsi="XO Thames"/>
                <w:b w:val="1"/>
                <w:sz w:val="32"/>
              </w:rPr>
              <w:t>П О С Т А Н О В Л Е Н И Е</w:t>
            </w:r>
          </w:p>
        </w:tc>
      </w:tr>
      <w:tr>
        <w:trPr>
          <w:trHeight w:hRule="atLeast" w:val="564"/>
        </w:trPr>
        <w:tc>
          <w:tcPr>
            <w:tcW w:type="dxa" w:w="54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6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от</w:t>
            </w:r>
          </w:p>
        </w:tc>
        <w:tc>
          <w:tcPr>
            <w:tcW w:type="dxa" w:w="1635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7000000">
            <w:pPr>
              <w:pStyle w:val="Style_2"/>
            </w:pPr>
            <w:r>
              <w:t>04.08.2026</w:t>
            </w:r>
          </w:p>
        </w:tc>
        <w:tc>
          <w:tcPr>
            <w:tcW w:type="dxa" w:w="5280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8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г. Кашин</w:t>
            </w:r>
          </w:p>
        </w:tc>
        <w:tc>
          <w:tcPr>
            <w:tcW w:type="dxa" w:w="68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9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jc w:val="center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№</w:t>
            </w:r>
          </w:p>
        </w:tc>
        <w:tc>
          <w:tcPr>
            <w:tcW w:type="dxa" w:w="1498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A000000">
            <w:pPr>
              <w:pStyle w:val="Style_2"/>
            </w:pPr>
            <w:r>
              <w:t>701</w:t>
            </w:r>
          </w:p>
        </w:tc>
      </w:tr>
      <w:tr>
        <w:trPr>
          <w:trHeight w:hRule="atLeast" w:val="360"/>
        </w:trPr>
        <w:tc>
          <w:tcPr>
            <w:tcW w:type="dxa" w:w="9641"/>
            <w:gridSpan w:val="7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</w:p>
        </w:tc>
      </w:tr>
      <w:tr>
        <w:trPr>
          <w:trHeight w:hRule="atLeast" w:val="615"/>
        </w:trPr>
        <w:tc>
          <w:tcPr>
            <w:tcW w:type="dxa" w:w="5062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О порядке присвоения, изменения и аннулирования адресов объектам адресации, расположенным на территории Кашинского муниципального округа Тверской области</w:t>
            </w:r>
          </w:p>
        </w:tc>
        <w:tc>
          <w:tcPr>
            <w:tcW w:type="dxa" w:w="4579"/>
            <w:gridSpan w:val="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pStyle w:val="Style_2"/>
              <w:widowControl w:val="1"/>
              <w:pBdr>
                <w:top w:sz="4" w:val="nil"/>
                <w:left w:sz="4" w:val="nil"/>
                <w:bottom w:sz="4" w:val="nil"/>
                <w:right w:sz="4" w:val="nil"/>
              </w:pBdr>
              <w:ind/>
              <w:rPr>
                <w:rFonts w:ascii="XO Thames" w:hAnsi="XO Thames"/>
                <w:sz w:val="28"/>
              </w:rPr>
            </w:pPr>
          </w:p>
        </w:tc>
      </w:tr>
    </w:tbl>
    <w:p w14:paraId="0E000000">
      <w:pPr>
        <w:pStyle w:val="Style_2"/>
        <w:widowControl w:val="1"/>
        <w:ind w:firstLine="709" w:left="0"/>
      </w:pPr>
    </w:p>
    <w:p w14:paraId="0F000000">
      <w:pPr>
        <w:pStyle w:val="Style_2"/>
        <w:widowControl w:val="1"/>
        <w:ind w:firstLine="709" w:left="0"/>
      </w:pPr>
      <w:r>
        <w:t xml:space="preserve">В соответствии с Федеральным законом от 28.12.2013 № 443-ФЗ « 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>
        <w:rPr>
          <w:rFonts w:ascii="XO Thames" w:hAnsi="XO Thames"/>
          <w:b w:val="0"/>
          <w:i w:val="0"/>
          <w:caps w:val="0"/>
          <w:color w:val="000000"/>
          <w:spacing w:val="3"/>
          <w:sz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постановлением </w:t>
      </w:r>
      <w:r>
        <w:rPr>
          <w:rFonts w:ascii="XO Thames" w:hAnsi="XO Thames"/>
          <w:sz w:val="28"/>
        </w:rPr>
        <w:t>Правительства</w:t>
      </w:r>
      <w:r>
        <w:rPr>
          <w:rFonts w:ascii="XO Thames" w:hAnsi="XO Thames"/>
          <w:sz w:val="28"/>
        </w:rPr>
        <w:t xml:space="preserve"> Российской Ф</w:t>
      </w:r>
      <w:r>
        <w:rPr>
          <w:rFonts w:ascii="XO Thames" w:hAnsi="XO Thames"/>
          <w:sz w:val="28"/>
        </w:rPr>
        <w:t>едер</w:t>
      </w:r>
      <w:r>
        <w:rPr>
          <w:rFonts w:ascii="XO Thames" w:hAnsi="XO Thames"/>
          <w:sz w:val="28"/>
        </w:rPr>
        <w:t>ации от 19.11.201</w:t>
      </w:r>
      <w:r>
        <w:rPr>
          <w:rFonts w:ascii="XO Thames" w:hAnsi="XO Thames"/>
          <w:sz w:val="28"/>
        </w:rPr>
        <w:t xml:space="preserve">4 </w:t>
      </w:r>
      <w:r>
        <w:rPr>
          <w:rFonts w:ascii="XO Thames" w:hAnsi="XO Thames"/>
          <w:sz w:val="28"/>
        </w:rPr>
        <w:t>№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1221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«Об ут</w:t>
      </w:r>
      <w:r>
        <w:rPr>
          <w:rFonts w:ascii="XO Thames" w:hAnsi="XO Thames"/>
          <w:sz w:val="28"/>
        </w:rPr>
        <w:t>в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р</w:t>
      </w:r>
      <w:r>
        <w:rPr>
          <w:rFonts w:ascii="XO Thames" w:hAnsi="XO Thames"/>
          <w:sz w:val="28"/>
        </w:rPr>
        <w:t>жд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нии П</w:t>
      </w:r>
      <w:r>
        <w:rPr>
          <w:rFonts w:ascii="XO Thames" w:hAnsi="XO Thames"/>
          <w:sz w:val="28"/>
        </w:rPr>
        <w:t>рав</w:t>
      </w:r>
      <w:r>
        <w:rPr>
          <w:rFonts w:ascii="XO Thames" w:hAnsi="XO Thames"/>
          <w:sz w:val="28"/>
        </w:rPr>
        <w:t xml:space="preserve">ил </w:t>
      </w:r>
      <w:r>
        <w:rPr>
          <w:rFonts w:ascii="XO Thames" w:hAnsi="XO Thames"/>
          <w:sz w:val="28"/>
        </w:rPr>
        <w:t>присвоения, и</w:t>
      </w:r>
      <w:r>
        <w:rPr>
          <w:rFonts w:ascii="XO Thames" w:hAnsi="XO Thames"/>
          <w:sz w:val="28"/>
        </w:rPr>
        <w:t>з</w:t>
      </w:r>
      <w:r>
        <w:rPr>
          <w:rFonts w:ascii="XO Thames" w:hAnsi="XO Thames"/>
          <w:sz w:val="28"/>
        </w:rPr>
        <w:t>м</w:t>
      </w:r>
      <w:r>
        <w:rPr>
          <w:rFonts w:ascii="XO Thames" w:hAnsi="XO Thames"/>
          <w:sz w:val="28"/>
        </w:rPr>
        <w:t>ен</w:t>
      </w:r>
      <w:r>
        <w:rPr>
          <w:rFonts w:ascii="XO Thames" w:hAnsi="XO Thames"/>
          <w:sz w:val="28"/>
        </w:rPr>
        <w:t>е</w:t>
      </w:r>
      <w:r>
        <w:rPr>
          <w:rFonts w:ascii="XO Thames" w:hAnsi="XO Thames"/>
          <w:sz w:val="28"/>
        </w:rPr>
        <w:t>н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я</w:t>
      </w:r>
      <w:r>
        <w:rPr>
          <w:rFonts w:ascii="XO Thames" w:hAnsi="XO Thames"/>
          <w:sz w:val="28"/>
        </w:rPr>
        <w:t xml:space="preserve"> и анн</w:t>
      </w:r>
      <w:r>
        <w:rPr>
          <w:rFonts w:ascii="XO Thames" w:hAnsi="XO Thames"/>
          <w:sz w:val="28"/>
        </w:rPr>
        <w:t>улиров</w:t>
      </w:r>
      <w:r>
        <w:rPr>
          <w:rFonts w:ascii="XO Thames" w:hAnsi="XO Thames"/>
          <w:sz w:val="28"/>
        </w:rPr>
        <w:t>а</w:t>
      </w:r>
      <w:r>
        <w:rPr>
          <w:rFonts w:ascii="XO Thames" w:hAnsi="XO Thames"/>
          <w:sz w:val="28"/>
        </w:rPr>
        <w:t>ния</w:t>
      </w:r>
      <w:r>
        <w:rPr>
          <w:rFonts w:ascii="XO Thames" w:hAnsi="XO Thames"/>
          <w:sz w:val="28"/>
        </w:rPr>
        <w:t xml:space="preserve"> ад</w:t>
      </w:r>
      <w:r>
        <w:rPr>
          <w:rFonts w:ascii="XO Thames" w:hAnsi="XO Thames"/>
          <w:sz w:val="28"/>
        </w:rPr>
        <w:t>р</w:t>
      </w:r>
      <w:r>
        <w:rPr>
          <w:rFonts w:ascii="XO Thames" w:hAnsi="XO Thames"/>
          <w:sz w:val="28"/>
        </w:rPr>
        <w:t xml:space="preserve">есов», 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руководс</w:t>
      </w:r>
      <w:r>
        <w:rPr>
          <w:rFonts w:ascii="XO Thames" w:hAnsi="XO Thames"/>
          <w:sz w:val="28"/>
        </w:rPr>
        <w:t>твуясь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Ус</w:t>
      </w:r>
      <w:r>
        <w:rPr>
          <w:rFonts w:ascii="XO Thames" w:hAnsi="XO Thames"/>
          <w:sz w:val="28"/>
        </w:rPr>
        <w:t>та</w:t>
      </w:r>
      <w:r>
        <w:rPr>
          <w:rFonts w:ascii="XO Thames" w:hAnsi="XO Thames"/>
          <w:sz w:val="28"/>
        </w:rPr>
        <w:t xml:space="preserve">вом </w:t>
      </w:r>
      <w:r>
        <w:rPr>
          <w:rFonts w:ascii="XO Thames" w:hAnsi="XO Thames"/>
          <w:sz w:val="28"/>
        </w:rPr>
        <w:t>Кашинского муниципального</w:t>
      </w:r>
      <w:r>
        <w:rPr>
          <w:rFonts w:ascii="XO Thames" w:hAnsi="XO Thames"/>
          <w:sz w:val="28"/>
        </w:rPr>
        <w:t xml:space="preserve"> ок</w:t>
      </w:r>
      <w:r>
        <w:rPr>
          <w:rFonts w:ascii="XO Thames" w:hAnsi="XO Thames"/>
          <w:sz w:val="28"/>
        </w:rPr>
        <w:t>руга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Т</w:t>
      </w:r>
      <w:r>
        <w:rPr>
          <w:rFonts w:ascii="XO Thames" w:hAnsi="XO Thames"/>
          <w:sz w:val="28"/>
        </w:rPr>
        <w:t>ве</w:t>
      </w:r>
      <w:r>
        <w:rPr>
          <w:rFonts w:ascii="XO Thames" w:hAnsi="XO Thames"/>
          <w:sz w:val="28"/>
        </w:rPr>
        <w:t>рс</w:t>
      </w:r>
      <w:r>
        <w:rPr>
          <w:rFonts w:ascii="XO Thames" w:hAnsi="XO Thames"/>
          <w:sz w:val="28"/>
        </w:rPr>
        <w:t>кой об</w:t>
      </w:r>
      <w:r>
        <w:rPr>
          <w:rFonts w:ascii="XO Thames" w:hAnsi="XO Thames"/>
          <w:sz w:val="28"/>
        </w:rPr>
        <w:t>ласт</w:t>
      </w:r>
      <w:r>
        <w:rPr>
          <w:rFonts w:ascii="XO Thames" w:hAnsi="XO Thames"/>
          <w:sz w:val="28"/>
        </w:rPr>
        <w:t>и</w:t>
      </w:r>
      <w:r>
        <w:rPr>
          <w:rFonts w:ascii="XO Thames" w:hAnsi="XO Thames"/>
          <w:sz w:val="28"/>
        </w:rPr>
        <w:t>,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Ад</w:t>
      </w:r>
      <w:r>
        <w:rPr>
          <w:rFonts w:ascii="XO Thames" w:hAnsi="XO Thames"/>
          <w:sz w:val="28"/>
        </w:rPr>
        <w:t>ми</w:t>
      </w:r>
      <w:r>
        <w:rPr>
          <w:rFonts w:ascii="XO Thames" w:hAnsi="XO Thames"/>
          <w:sz w:val="28"/>
        </w:rPr>
        <w:t>нистр</w:t>
      </w:r>
      <w:r>
        <w:rPr>
          <w:rFonts w:ascii="XO Thames" w:hAnsi="XO Thames"/>
          <w:sz w:val="28"/>
        </w:rPr>
        <w:t>ация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Каши</w:t>
      </w:r>
      <w:r>
        <w:rPr>
          <w:rFonts w:ascii="XO Thames" w:hAnsi="XO Thames"/>
          <w:sz w:val="28"/>
        </w:rPr>
        <w:t>нского</w:t>
      </w:r>
      <w:r>
        <w:rPr>
          <w:rFonts w:ascii="XO Thames" w:hAnsi="XO Thames"/>
          <w:sz w:val="28"/>
        </w:rPr>
        <w:t xml:space="preserve"> муниципального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окру</w:t>
      </w:r>
      <w:r>
        <w:rPr>
          <w:rFonts w:ascii="XO Thames" w:hAnsi="XO Thames"/>
          <w:sz w:val="28"/>
        </w:rPr>
        <w:t>га Тверской области</w:t>
      </w:r>
    </w:p>
    <w:p w14:paraId="10000000">
      <w:pPr>
        <w:pStyle w:val="Style_2"/>
        <w:widowControl w:val="1"/>
        <w:ind w:firstLine="709" w:left="0"/>
      </w:pPr>
      <w:r>
        <w:t> </w:t>
      </w:r>
    </w:p>
    <w:p w14:paraId="11000000">
      <w:pPr>
        <w:pStyle w:val="Style_2"/>
      </w:pPr>
      <w:r>
        <w:t>ПОСТАНОВЛЯЕТ:</w:t>
      </w:r>
    </w:p>
    <w:p w14:paraId="12000000">
      <w:pPr>
        <w:pStyle w:val="Style_2"/>
      </w:pPr>
      <w:r>
        <w:t> </w:t>
      </w:r>
    </w:p>
    <w:p w14:paraId="13000000">
      <w:pPr>
        <w:pStyle w:val="Style_2"/>
        <w:widowControl w:val="1"/>
        <w:numPr>
          <w:numId w:val="1"/>
        </w:numPr>
        <w:ind w:firstLine="709" w:left="0"/>
      </w:pPr>
      <w:r>
        <w:t xml:space="preserve">Присвоение, изменение, аннулирование адресов объектам адресации, расположенным на территории Кашинского муниципального округа Тверской области, осуществляются в соответствии с Правилами присвоения, изменения и аннулирования адресов, утвержденными </w:t>
      </w:r>
      <w:r>
        <w:rPr>
          <w:rFonts w:ascii="XO Thames" w:hAnsi="XO Thames"/>
          <w:b w:val="0"/>
          <w:i w:val="0"/>
          <w:caps w:val="0"/>
          <w:color w:val="000000"/>
          <w:spacing w:val="3"/>
          <w:sz w:val="28"/>
        </w:rPr>
        <w:t xml:space="preserve">постановлением </w:t>
      </w:r>
      <w:r>
        <w:rPr>
          <w:rFonts w:ascii="XO Thames" w:hAnsi="XO Thames"/>
          <w:sz w:val="28"/>
        </w:rPr>
        <w:t>Правительства</w:t>
      </w:r>
      <w:r>
        <w:rPr>
          <w:rFonts w:ascii="XO Thames" w:hAnsi="XO Thames"/>
          <w:sz w:val="28"/>
        </w:rPr>
        <w:t xml:space="preserve"> Российской Ф</w:t>
      </w:r>
      <w:r>
        <w:rPr>
          <w:rFonts w:ascii="XO Thames" w:hAnsi="XO Thames"/>
          <w:sz w:val="28"/>
        </w:rPr>
        <w:t>едер</w:t>
      </w:r>
      <w:r>
        <w:rPr>
          <w:rFonts w:ascii="XO Thames" w:hAnsi="XO Thames"/>
          <w:sz w:val="28"/>
        </w:rPr>
        <w:t>ации от 19.11.201</w:t>
      </w:r>
      <w:r>
        <w:rPr>
          <w:rFonts w:ascii="XO Thames" w:hAnsi="XO Thames"/>
          <w:sz w:val="28"/>
        </w:rPr>
        <w:t xml:space="preserve">4 </w:t>
      </w:r>
      <w:r>
        <w:rPr>
          <w:rFonts w:ascii="XO Thames" w:hAnsi="XO Thames"/>
          <w:sz w:val="28"/>
        </w:rPr>
        <w:t>№</w:t>
      </w:r>
      <w:r>
        <w:rPr>
          <w:rFonts w:ascii="XO Thames" w:hAnsi="XO Thames"/>
          <w:sz w:val="28"/>
        </w:rPr>
        <w:t xml:space="preserve"> </w:t>
      </w:r>
      <w:r>
        <w:rPr>
          <w:rFonts w:ascii="XO Thames" w:hAnsi="XO Thames"/>
          <w:sz w:val="28"/>
        </w:rPr>
        <w:t>1221.</w:t>
      </w:r>
    </w:p>
    <w:p w14:paraId="14000000">
      <w:pPr>
        <w:widowControl w:val="0"/>
        <w:numPr>
          <w:numId w:val="1"/>
        </w:numPr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Признать утратившим силу постановление Администрации Кашинского района Тверской области от 24.07.2015 №276 «</w:t>
      </w:r>
      <w:r>
        <w:rPr>
          <w:rFonts w:ascii="XO Thames" w:hAnsi="XO Thames"/>
          <w:sz w:val="28"/>
        </w:rPr>
        <w:t>Об утверждении Правил присвоения, изменения и аннулирования адресов на территории муниципального образования «Городское поселение – город Кашин»»</w:t>
      </w:r>
      <w:r>
        <w:rPr>
          <w:rFonts w:ascii="XO Thames" w:hAnsi="XO Thames"/>
        </w:rPr>
        <w:t>.</w:t>
      </w:r>
    </w:p>
    <w:p w14:paraId="15000000">
      <w:pPr>
        <w:widowControl w:val="0"/>
        <w:numPr>
          <w:numId w:val="1"/>
        </w:numPr>
        <w:ind w:firstLine="709" w:left="0"/>
        <w:jc w:val="both"/>
        <w:rPr>
          <w:rFonts w:ascii="XO Thames" w:hAnsi="XO Thames"/>
          <w:sz w:val="28"/>
        </w:rPr>
      </w:pPr>
      <w:r>
        <w:rPr>
          <w:rFonts w:ascii="XO Thames" w:hAnsi="XO Thames"/>
        </w:rPr>
        <w:t>Настоящее постановление вступает в силу со дня его подписания и подлежит официальному опубликованию в газете «Кашинская газета» и  размещению на официальном сайте Кашинского муниципального округа Тверской области в информационно-телекоммуникационной сети «Интернет».</w:t>
      </w:r>
    </w:p>
    <w:p w14:paraId="16000000">
      <w:pPr>
        <w:pStyle w:val="Style_2"/>
      </w:pPr>
    </w:p>
    <w:p w14:paraId="17000000">
      <w:pPr>
        <w:pStyle w:val="Style_2"/>
      </w:pPr>
    </w:p>
    <w:p w14:paraId="18000000">
      <w:pPr>
        <w:pStyle w:val="Style_2"/>
        <w:widowControl w:val="1"/>
        <w:ind/>
        <w:jc w:val="left"/>
        <w:rPr>
          <w:rFonts w:ascii="XO Thames" w:hAnsi="XO Thames"/>
        </w:rPr>
      </w:pPr>
      <w:r>
        <w:t xml:space="preserve">Глава Кашинского муниципального округа </w:t>
      </w:r>
    </w:p>
    <w:p w14:paraId="19000000">
      <w:pPr>
        <w:pStyle w:val="Style_2"/>
      </w:pPr>
      <w:r>
        <w:t>Тверской области</w:t>
      </w:r>
      <w:r>
        <w:tab/>
      </w:r>
      <w:r>
        <w:tab/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</w:t>
      </w:r>
      <w:r>
        <w:rPr>
          <w:rFonts w:ascii="XO Thames" w:hAnsi="XO Thames"/>
          <w:sz w:val="28"/>
        </w:rPr>
        <w:t>А.В. Рагузин</w:t>
      </w:r>
    </w:p>
    <w:sectPr>
      <w:pgSz w:h="16848" w:orient="portrait" w:w="11908"/>
      <w:pgMar w:bottom="690" w:footer="1134" w:header="1134" w:left="1701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ind/>
      <w:jc w:val="both"/>
    </w:pPr>
    <w:rPr>
      <w:sz w:val="28"/>
    </w:rPr>
  </w:style>
  <w:style w:default="1" w:styleId="Style_2_ch" w:type="character">
    <w:name w:val="Normal"/>
    <w:link w:val="Style_2"/>
    <w:rPr>
      <w:sz w:val="28"/>
    </w:rPr>
  </w:style>
  <w:style w:styleId="Style_3" w:type="paragraph">
    <w:name w:val="Обычный1"/>
    <w:link w:val="Style_3_ch"/>
    <w:rPr>
      <w:sz w:val="28"/>
    </w:rPr>
  </w:style>
  <w:style w:styleId="Style_3_ch" w:type="character">
    <w:name w:val="Обычный1"/>
    <w:link w:val="Style_3"/>
    <w:rPr>
      <w:sz w:val="28"/>
    </w:rPr>
  </w:style>
  <w:style w:styleId="Style_4" w:type="paragraph">
    <w:name w:val="toc 2"/>
    <w:basedOn w:val="Style_2"/>
    <w:next w:val="Style_2"/>
    <w:link w:val="Style_4_ch"/>
    <w:uiPriority w:val="39"/>
    <w:pPr>
      <w:widowControl w:val="1"/>
      <w:ind w:firstLine="0" w:left="200"/>
    </w:pPr>
    <w:rPr>
      <w:sz w:val="28"/>
    </w:rPr>
  </w:style>
  <w:style w:styleId="Style_4_ch" w:type="character">
    <w:name w:val="toc 2"/>
    <w:basedOn w:val="Style_2_ch"/>
    <w:link w:val="Style_4"/>
    <w:rPr>
      <w:sz w:val="28"/>
    </w:rPr>
  </w:style>
  <w:style w:styleId="Style_5" w:type="paragraph">
    <w:name w:val="toc 4"/>
    <w:basedOn w:val="Style_2"/>
    <w:next w:val="Style_2"/>
    <w:link w:val="Style_5_ch"/>
    <w:uiPriority w:val="39"/>
    <w:pPr>
      <w:widowControl w:val="1"/>
      <w:ind w:firstLine="0" w:left="600"/>
    </w:pPr>
    <w:rPr>
      <w:sz w:val="28"/>
    </w:rPr>
  </w:style>
  <w:style w:styleId="Style_5_ch" w:type="character">
    <w:name w:val="toc 4"/>
    <w:basedOn w:val="Style_2_ch"/>
    <w:link w:val="Style_5"/>
    <w:rPr>
      <w:sz w:val="28"/>
    </w:rPr>
  </w:style>
  <w:style w:styleId="Style_6" w:type="paragraph">
    <w:name w:val="toc 6"/>
    <w:basedOn w:val="Style_2"/>
    <w:next w:val="Style_2"/>
    <w:link w:val="Style_6_ch"/>
    <w:uiPriority w:val="39"/>
    <w:pPr>
      <w:widowControl w:val="1"/>
      <w:ind w:firstLine="0" w:left="1000"/>
    </w:pPr>
    <w:rPr>
      <w:sz w:val="28"/>
    </w:rPr>
  </w:style>
  <w:style w:styleId="Style_6_ch" w:type="character">
    <w:name w:val="toc 6"/>
    <w:basedOn w:val="Style_2_ch"/>
    <w:link w:val="Style_6"/>
    <w:rPr>
      <w:sz w:val="28"/>
    </w:rPr>
  </w:style>
  <w:style w:styleId="Style_7" w:type="paragraph">
    <w:name w:val="toc 7"/>
    <w:basedOn w:val="Style_2"/>
    <w:next w:val="Style_2"/>
    <w:link w:val="Style_7_ch"/>
    <w:uiPriority w:val="39"/>
    <w:pPr>
      <w:widowControl w:val="1"/>
      <w:ind w:firstLine="0" w:left="1200"/>
    </w:pPr>
    <w:rPr>
      <w:sz w:val="28"/>
    </w:rPr>
  </w:style>
  <w:style w:styleId="Style_7_ch" w:type="character">
    <w:name w:val="toc 7"/>
    <w:basedOn w:val="Style_2_ch"/>
    <w:link w:val="Style_7"/>
    <w:rPr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2"/>
    </w:pPr>
    <w:rPr>
      <w:b w:val="1"/>
      <w:sz w:val="26"/>
    </w:rPr>
  </w:style>
  <w:style w:styleId="Style_9_ch" w:type="character">
    <w:name w:val="heading 3"/>
    <w:basedOn w:val="Style_2_ch"/>
    <w:link w:val="Style_9"/>
    <w:rPr>
      <w:b w:val="1"/>
      <w:sz w:val="26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Обычный1"/>
    <w:link w:val="Style_11_ch"/>
    <w:rPr>
      <w:sz w:val="28"/>
    </w:rPr>
  </w:style>
  <w:style w:styleId="Style_11_ch" w:type="character">
    <w:name w:val="Обычный1"/>
    <w:link w:val="Style_11"/>
    <w:rPr>
      <w:sz w:val="28"/>
    </w:rPr>
  </w:style>
  <w:style w:styleId="Style_12" w:type="paragraph">
    <w:name w:val="toc 3"/>
    <w:basedOn w:val="Style_2"/>
    <w:next w:val="Style_2"/>
    <w:link w:val="Style_12_ch"/>
    <w:uiPriority w:val="39"/>
    <w:pPr>
      <w:widowControl w:val="1"/>
      <w:ind w:firstLine="0" w:left="400"/>
    </w:pPr>
    <w:rPr>
      <w:sz w:val="28"/>
    </w:rPr>
  </w:style>
  <w:style w:styleId="Style_12_ch" w:type="character">
    <w:name w:val="toc 3"/>
    <w:basedOn w:val="Style_2_ch"/>
    <w:link w:val="Style_12"/>
    <w:rPr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basedOn w:val="Style_2"/>
    <w:next w:val="Style_2"/>
    <w:link w:val="Style_14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4"/>
    </w:pPr>
    <w:rPr>
      <w:b w:val="1"/>
      <w:sz w:val="22"/>
    </w:rPr>
  </w:style>
  <w:style w:styleId="Style_14_ch" w:type="character">
    <w:name w:val="heading 5"/>
    <w:basedOn w:val="Style_2_ch"/>
    <w:link w:val="Style_14"/>
    <w:rPr>
      <w:b w:val="1"/>
      <w:sz w:val="22"/>
    </w:rPr>
  </w:style>
  <w:style w:styleId="Style_15" w:type="paragraph">
    <w:name w:val="heading 1"/>
    <w:basedOn w:val="Style_2"/>
    <w:next w:val="Style_2"/>
    <w:link w:val="Style_15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0"/>
    </w:pPr>
    <w:rPr>
      <w:b w:val="1"/>
      <w:sz w:val="32"/>
    </w:rPr>
  </w:style>
  <w:style w:styleId="Style_15_ch" w:type="character">
    <w:name w:val="heading 1"/>
    <w:basedOn w:val="Style_2_ch"/>
    <w:link w:val="Style_15"/>
    <w:rPr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sz w:val="22"/>
    </w:rPr>
  </w:style>
  <w:style w:styleId="Style_17_ch" w:type="character">
    <w:name w:val="Footnote"/>
    <w:link w:val="Style_17"/>
    <w:rPr>
      <w:sz w:val="22"/>
    </w:rPr>
  </w:style>
  <w:style w:styleId="Style_18" w:type="paragraph">
    <w:name w:val="toc 1"/>
    <w:basedOn w:val="Style_2"/>
    <w:next w:val="Style_2"/>
    <w:link w:val="Style_18_ch"/>
    <w:uiPriority w:val="39"/>
    <w:rPr>
      <w:b w:val="1"/>
      <w:sz w:val="28"/>
    </w:rPr>
  </w:style>
  <w:style w:styleId="Style_18_ch" w:type="character">
    <w:name w:val="toc 1"/>
    <w:basedOn w:val="Style_2_ch"/>
    <w:link w:val="Style_18"/>
    <w:rPr>
      <w:b w:val="1"/>
      <w:sz w:val="28"/>
    </w:rPr>
  </w:style>
  <w:style w:styleId="Style_19" w:type="paragraph">
    <w:name w:val="Header and Footer"/>
    <w:link w:val="Style_19_ch"/>
    <w:pPr>
      <w:widowControl w:val="1"/>
      <w:ind/>
      <w:jc w:val="both"/>
    </w:pPr>
    <w:rPr>
      <w:sz w:val="20"/>
    </w:rPr>
  </w:style>
  <w:style w:styleId="Style_19_ch" w:type="character">
    <w:name w:val="Header and Footer"/>
    <w:link w:val="Style_19"/>
    <w:rPr>
      <w:sz w:val="20"/>
    </w:rPr>
  </w:style>
  <w:style w:styleId="Style_20" w:type="paragraph">
    <w:name w:val="toc 9"/>
    <w:basedOn w:val="Style_2"/>
    <w:next w:val="Style_2"/>
    <w:link w:val="Style_20_ch"/>
    <w:uiPriority w:val="39"/>
    <w:pPr>
      <w:widowControl w:val="1"/>
      <w:ind w:firstLine="0" w:left="1600"/>
    </w:pPr>
    <w:rPr>
      <w:sz w:val="28"/>
    </w:rPr>
  </w:style>
  <w:style w:styleId="Style_20_ch" w:type="character">
    <w:name w:val="toc 9"/>
    <w:basedOn w:val="Style_2_ch"/>
    <w:link w:val="Style_20"/>
    <w:rPr>
      <w:sz w:val="28"/>
    </w:rPr>
  </w:style>
  <w:style w:styleId="Style_21" w:type="paragraph">
    <w:name w:val="Гиперссылка1"/>
    <w:link w:val="Style_21_ch"/>
    <w:rPr>
      <w:color w:val="0000FF"/>
      <w:u w:val="single"/>
    </w:rPr>
  </w:style>
  <w:style w:styleId="Style_21_ch" w:type="character">
    <w:name w:val="Гиперссылка1"/>
    <w:link w:val="Style_21"/>
    <w:rPr>
      <w:color w:val="0000FF"/>
      <w:u w:val="single"/>
    </w:rPr>
  </w:style>
  <w:style w:styleId="Style_22" w:type="paragraph">
    <w:name w:val="toc 8"/>
    <w:basedOn w:val="Style_2"/>
    <w:next w:val="Style_2"/>
    <w:link w:val="Style_22_ch"/>
    <w:uiPriority w:val="39"/>
    <w:pPr>
      <w:widowControl w:val="1"/>
      <w:ind w:firstLine="0" w:left="1400"/>
    </w:pPr>
    <w:rPr>
      <w:sz w:val="28"/>
    </w:rPr>
  </w:style>
  <w:style w:styleId="Style_22_ch" w:type="character">
    <w:name w:val="toc 8"/>
    <w:basedOn w:val="Style_2_ch"/>
    <w:link w:val="Style_22"/>
    <w:rPr>
      <w:sz w:val="28"/>
    </w:rPr>
  </w:style>
  <w:style w:styleId="Style_23" w:type="paragraph">
    <w:name w:val="toc 5"/>
    <w:basedOn w:val="Style_2"/>
    <w:next w:val="Style_2"/>
    <w:link w:val="Style_23_ch"/>
    <w:uiPriority w:val="39"/>
    <w:pPr>
      <w:widowControl w:val="1"/>
      <w:ind w:firstLine="0" w:left="800"/>
    </w:pPr>
    <w:rPr>
      <w:sz w:val="28"/>
    </w:rPr>
  </w:style>
  <w:style w:styleId="Style_23_ch" w:type="character">
    <w:name w:val="toc 5"/>
    <w:basedOn w:val="Style_2_ch"/>
    <w:link w:val="Style_23"/>
    <w:rPr>
      <w:sz w:val="28"/>
    </w:rPr>
  </w:style>
  <w:style w:styleId="Style_24" w:type="paragraph">
    <w:name w:val="Subtitle"/>
    <w:basedOn w:val="Style_2"/>
    <w:next w:val="Style_2"/>
    <w:link w:val="Style_24_ch"/>
    <w:uiPriority w:val="11"/>
    <w:qFormat/>
    <w:pPr>
      <w:widowControl w:val="1"/>
      <w:ind/>
      <w:jc w:val="both"/>
    </w:pPr>
    <w:rPr>
      <w:i w:val="1"/>
    </w:rPr>
  </w:style>
  <w:style w:styleId="Style_24_ch" w:type="character">
    <w:name w:val="Subtitle"/>
    <w:basedOn w:val="Style_2_ch"/>
    <w:link w:val="Style_24"/>
    <w:rPr>
      <w:i w:val="1"/>
    </w:rPr>
  </w:style>
  <w:style w:styleId="Style_25" w:type="paragraph">
    <w:name w:val="Title"/>
    <w:basedOn w:val="Style_2"/>
    <w:next w:val="Style_2"/>
    <w:link w:val="Style_25_ch"/>
    <w:uiPriority w:val="10"/>
    <w:qFormat/>
    <w:pPr>
      <w:widowControl w:val="1"/>
      <w:spacing w:after="567" w:before="567"/>
      <w:ind/>
      <w:jc w:val="center"/>
    </w:pPr>
    <w:rPr>
      <w:b w:val="1"/>
      <w:caps w:val="1"/>
      <w:sz w:val="40"/>
    </w:rPr>
  </w:style>
  <w:style w:styleId="Style_25_ch" w:type="character">
    <w:name w:val="Title"/>
    <w:basedOn w:val="Style_2_ch"/>
    <w:link w:val="Style_25"/>
    <w:rPr>
      <w:b w:val="1"/>
      <w:caps w:val="1"/>
      <w:sz w:val="40"/>
    </w:rPr>
  </w:style>
  <w:style w:styleId="Style_26" w:type="paragraph">
    <w:name w:val="heading 4"/>
    <w:basedOn w:val="Style_2"/>
    <w:next w:val="Style_2"/>
    <w:link w:val="Style_26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3"/>
    </w:pPr>
    <w:rPr>
      <w:b w:val="1"/>
    </w:rPr>
  </w:style>
  <w:style w:styleId="Style_26_ch" w:type="character">
    <w:name w:val="heading 4"/>
    <w:basedOn w:val="Style_2_ch"/>
    <w:link w:val="Style_26"/>
    <w:rPr>
      <w:b w:val="1"/>
    </w:rPr>
  </w:style>
  <w:style w:styleId="Style_27" w:type="paragraph">
    <w:name w:val="heading 2"/>
    <w:basedOn w:val="Style_2"/>
    <w:next w:val="Style_2"/>
    <w:link w:val="Style_27_ch"/>
    <w:uiPriority w:val="9"/>
    <w:qFormat/>
    <w:pPr>
      <w:widowControl w:val="1"/>
      <w:numPr>
        <w:ilvl w:val="0"/>
        <w:numId w:val="0"/>
      </w:numPr>
      <w:spacing w:after="120" w:before="120"/>
      <w:ind/>
      <w:jc w:val="both"/>
      <w:outlineLvl w:val="1"/>
    </w:pPr>
    <w:rPr>
      <w:b w:val="1"/>
      <w:sz w:val="28"/>
    </w:rPr>
  </w:style>
  <w:style w:styleId="Style_27_ch" w:type="character">
    <w:name w:val="heading 2"/>
    <w:basedOn w:val="Style_2_ch"/>
    <w:link w:val="Style_27"/>
    <w:rPr>
      <w:b w:val="1"/>
      <w:sz w:val="28"/>
    </w:rPr>
  </w:style>
  <w:style w:styleId="Style_28" w:type="paragraph">
    <w:name w:val="Основной шрифт абзаца1"/>
    <w:link w:val="Style_28_ch"/>
  </w:style>
  <w:style w:styleId="Style_28_ch" w:type="character">
    <w:name w:val="Основной шрифт абзаца1"/>
    <w:link w:val="Style_28"/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jpeg" Type="http://schemas.openxmlformats.org/officeDocument/2006/relationships/image"/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MyOffice-CoreFramework-Windows/39-1403.1128.10324.1037.1@e8ff5f727e334356b492384cca4cf28c85978f47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2026-08-04T08:18:58Z</dcterms:created>
  <dcterms:modified xsi:type="dcterms:W3CDTF">2026-08-04T13:22:17Z</dcterms:modified>
</cp:coreProperties>
</file>