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</w:t>
      </w:r>
    </w:p>
    <w:p w14:paraId="02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b w:val="1"/>
          <w:sz w:val="28"/>
        </w:rPr>
        <w:t xml:space="preserve">по муниципальному </w:t>
      </w:r>
      <w:r>
        <w:rPr>
          <w:rFonts w:ascii="Times New Roman" w:hAnsi="Times New Roman"/>
          <w:b w:val="1"/>
          <w:sz w:val="28"/>
        </w:rPr>
        <w:t xml:space="preserve">жилищному </w:t>
      </w:r>
      <w:r>
        <w:rPr>
          <w:rFonts w:ascii="Times New Roman" w:hAnsi="Times New Roman"/>
          <w:b w:val="1"/>
          <w:sz w:val="28"/>
        </w:rPr>
        <w:t xml:space="preserve">контролю </w:t>
      </w:r>
      <w:r>
        <w:rPr>
          <w:rFonts w:ascii="Times New Roman" w:hAnsi="Times New Roman"/>
          <w:b w:val="1"/>
          <w:sz w:val="28"/>
        </w:rPr>
        <w:t>на территории</w:t>
      </w:r>
      <w:r>
        <w:rPr>
          <w:rFonts w:ascii="Times New Roman" w:hAnsi="Times New Roman"/>
          <w:b w:val="1"/>
          <w:sz w:val="28"/>
        </w:rPr>
        <w:t xml:space="preserve"> Кашинского муниципального округа Тверской области </w:t>
      </w: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3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4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I</w:t>
      </w:r>
      <w:r>
        <w:rPr>
          <w:rFonts w:ascii="XO Thames" w:hAnsi="XO Thames"/>
          <w:b w:val="1"/>
          <w:sz w:val="28"/>
        </w:rPr>
        <w:t>. </w:t>
      </w:r>
      <w:r>
        <w:rPr>
          <w:rFonts w:ascii="XO Thames" w:hAnsi="XO Thames"/>
          <w:b w:val="1"/>
          <w:sz w:val="28"/>
        </w:rPr>
        <w:t xml:space="preserve">Анализ текущего состояния осуществления </w:t>
      </w:r>
      <w:r>
        <w:rPr>
          <w:rFonts w:ascii="XO Thames" w:hAnsi="XO Thames"/>
          <w:b w:val="1"/>
          <w:sz w:val="28"/>
        </w:rPr>
        <w:t>муниципального жилищного контроля на территории Кашинского муниципального округа Тверской области</w:t>
      </w:r>
      <w:r>
        <w:rPr>
          <w:rFonts w:ascii="XO Thames" w:hAnsi="XO Thames"/>
          <w:b w:val="1"/>
          <w:sz w:val="28"/>
        </w:rPr>
        <w:t xml:space="preserve">, описание </w:t>
      </w:r>
      <w:r>
        <w:rPr>
          <w:rFonts w:ascii="XO Thames" w:hAnsi="XO Thames"/>
          <w:b w:val="1"/>
          <w:sz w:val="28"/>
        </w:rPr>
        <w:t xml:space="preserve">текущего развития профилактической деятельности </w:t>
      </w:r>
      <w:r>
        <w:rPr>
          <w:rFonts w:ascii="XO Thames" w:hAnsi="XO Thames"/>
          <w:b w:val="1"/>
          <w:sz w:val="28"/>
        </w:rPr>
        <w:t xml:space="preserve">контрольного органа, </w:t>
      </w:r>
      <w:r>
        <w:rPr>
          <w:rFonts w:ascii="XO Thames" w:hAnsi="XO Thames"/>
          <w:b w:val="1"/>
          <w:sz w:val="28"/>
        </w:rPr>
        <w:t>характеристика проблем, на решение которых направлена программа профилактики</w:t>
      </w:r>
    </w:p>
    <w:p w14:paraId="05000000">
      <w:pPr>
        <w:widowControl w:val="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right="-1"/>
        <w:rPr>
          <w:rFonts w:ascii="Times New Roman" w:hAnsi="Times New Roman"/>
          <w:sz w:val="28"/>
        </w:rPr>
      </w:pPr>
    </w:p>
    <w:p w14:paraId="06000000">
      <w:pPr>
        <w:widowControl w:val="0"/>
        <w:ind w:firstLine="709" w:left="0"/>
        <w:jc w:val="both"/>
        <w:rPr>
          <w:sz w:val="28"/>
        </w:rPr>
      </w:pPr>
      <w:r>
        <w:rPr>
          <w:color w:val="000000"/>
          <w:sz w:val="28"/>
        </w:rPr>
        <w:t> Настоящая программа профилактики рисков причинения вреда (ущерба) охраняемым законом ценностям по муниципальному</w:t>
      </w:r>
      <w:r>
        <w:rPr>
          <w:color w:val="000000"/>
          <w:sz w:val="28"/>
        </w:rPr>
        <w:t xml:space="preserve"> жилищному</w:t>
      </w:r>
      <w:r>
        <w:rPr>
          <w:color w:val="000000"/>
          <w:sz w:val="28"/>
        </w:rPr>
        <w:t xml:space="preserve"> контролю </w:t>
      </w:r>
      <w:r>
        <w:rPr>
          <w:color w:val="000000"/>
          <w:sz w:val="28"/>
        </w:rPr>
        <w:t>на территории</w:t>
      </w:r>
      <w:r>
        <w:rPr>
          <w:color w:val="000000"/>
          <w:sz w:val="28"/>
        </w:rPr>
        <w:t xml:space="preserve"> Кашинского муниципального округа Тверской области на 2026</w:t>
      </w:r>
      <w:r>
        <w:rPr>
          <w:color w:val="000000"/>
          <w:sz w:val="28"/>
        </w:rPr>
        <w:t xml:space="preserve"> год (далее также — программа профилактики) разработана в соответствии с Федеральным законом от 31.07.2020 № 248-ФЗ «О государственном контроле (надзоре) и муниципальном контроле в Российской Федерации» (далее также — Федеральный закон № 248-ФЗ)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статьей 20 Жилищного кодекса Российской Федерации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постановлением Правительства Российской Федерации от 25.06.2021 № 990 «Об 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программы профилактики осуществляется Администрацией Кашинского муниципального округа Тверской области в лице отдела по строительству, транспорту связи и жилищно-коммунальному хозяйству (далее также — уполномоченный орган, контрольный орган).</w:t>
      </w:r>
    </w:p>
    <w:p w14:paraId="08000000">
      <w:pPr>
        <w:widowControl w:val="0"/>
        <w:ind/>
        <w:jc w:val="both"/>
        <w:rPr>
          <w:sz w:val="28"/>
        </w:rPr>
      </w:pPr>
      <w:r>
        <w:rPr>
          <w:b w:val="1"/>
          <w:sz w:val="28"/>
        </w:rPr>
        <w:tab/>
      </w:r>
      <w:r>
        <w:rPr>
          <w:sz w:val="28"/>
        </w:rPr>
        <w:t>За период 2025</w:t>
      </w:r>
      <w:r>
        <w:rPr>
          <w:sz w:val="28"/>
        </w:rPr>
        <w:t xml:space="preserve"> года плановых, внеплановых выездных проверок по соблюдению юридическими лицами и индивидуальными предпринимателями обязательных требований, не проводилось. </w:t>
      </w:r>
    </w:p>
    <w:p w14:paraId="09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Мероприятия по контролю без взаимодействия с юридическими лицами, индивидуальными предпринимателями не проводились.</w:t>
      </w:r>
    </w:p>
    <w:p w14:paraId="0A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ходе рассмотрения обращений по вопросам в области муниципального жилищного фонда ведется информативно-разъяснительная работа по соблюдению обязательных требований, а также прав и обязанностей контролируемых лиц и должностных лиц, уполномоченных осуществлять муниципальный контроль при проведении контрольных мероприятий.</w:t>
      </w:r>
    </w:p>
    <w:p w14:paraId="0B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 на 2026</w:t>
      </w:r>
      <w:r>
        <w:rPr>
          <w:sz w:val="28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14:paraId="0C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 xml:space="preserve"> Профилактическое сопровождение контролируемых лиц в текущем периоде направлено на:</w:t>
      </w:r>
    </w:p>
    <w:p w14:paraId="0D000000">
      <w:pPr>
        <w:widowControl w:val="0"/>
        <w:ind/>
        <w:jc w:val="both"/>
        <w:rPr>
          <w:sz w:val="28"/>
        </w:rPr>
      </w:pPr>
      <w:r>
        <w:rPr>
          <w:sz w:val="28"/>
        </w:rPr>
        <w:t>- мониторинг и актуализацию перечня нормативных правовых актов, соблюдение которых оценивается в ходе контрольных мероприятий;</w:t>
      </w:r>
    </w:p>
    <w:p w14:paraId="0E000000">
      <w:pPr>
        <w:widowControl w:val="0"/>
        <w:ind/>
        <w:jc w:val="both"/>
        <w:rPr>
          <w:sz w:val="28"/>
        </w:rPr>
      </w:pPr>
      <w:r>
        <w:rPr>
          <w:sz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14:paraId="0F000000">
      <w:pPr>
        <w:widowControl w:val="0"/>
        <w:ind/>
        <w:jc w:val="both"/>
        <w:rPr>
          <w:sz w:val="28"/>
        </w:rPr>
      </w:pPr>
      <w:r>
        <w:rPr>
          <w:sz w:val="28"/>
        </w:rPr>
        <w:t>- обсуждение правоприменительной практики за соблюдением контролируемыми лицами требований</w:t>
      </w:r>
      <w:r>
        <w:rPr>
          <w:sz w:val="28"/>
        </w:rPr>
        <w:t xml:space="preserve"> законодательства в сфере использования муниципального жилищного фонда.</w:t>
      </w:r>
    </w:p>
    <w:p w14:paraId="10000000">
      <w:pPr>
        <w:widowControl w:val="0"/>
        <w:ind w:firstLine="708" w:left="0"/>
        <w:jc w:val="both"/>
        <w:rPr>
          <w:sz w:val="28"/>
          <w:highlight w:val="yellow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роприяти</w:t>
      </w:r>
      <w:r>
        <w:rPr>
          <w:sz w:val="28"/>
        </w:rPr>
        <w:t>й</w:t>
      </w:r>
      <w:r>
        <w:rPr>
          <w:sz w:val="28"/>
        </w:rPr>
        <w:t xml:space="preserve"> программы профилактики буде</w:t>
      </w:r>
      <w:r>
        <w:rPr>
          <w:sz w:val="28"/>
        </w:rPr>
        <w:t xml:space="preserve">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</w:t>
      </w:r>
      <w:r>
        <w:rPr>
          <w:sz w:val="28"/>
        </w:rPr>
        <w:t>предусмотренными законодательством и муниципальными правовыми актами способами.</w:t>
      </w:r>
    </w:p>
    <w:p w14:paraId="11000000">
      <w:pPr>
        <w:widowControl w:val="0"/>
        <w:ind w:firstLine="708" w:left="0"/>
        <w:jc w:val="both"/>
        <w:rPr>
          <w:sz w:val="28"/>
          <w:highlight w:val="yellow"/>
        </w:rPr>
      </w:pPr>
    </w:p>
    <w:p w14:paraId="1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. Цели и задачи реализации программы профилактики</w:t>
      </w:r>
    </w:p>
    <w:p w14:paraId="13000000">
      <w:pPr>
        <w:widowControl w:val="0"/>
        <w:ind/>
        <w:jc w:val="both"/>
        <w:rPr>
          <w:sz w:val="28"/>
        </w:rPr>
      </w:pPr>
    </w:p>
    <w:p w14:paraId="1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 Основные цели реализации программы профилактики:</w:t>
      </w:r>
    </w:p>
    <w:p w14:paraId="15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соблюдение юридическими лицами, индивидуальными предпринимателями и гражданами (далее – контролируемые лица)</w:t>
      </w:r>
      <w:r>
        <w:rPr>
          <w:sz w:val="28"/>
        </w:rPr>
        <w:t xml:space="preserve"> </w:t>
      </w:r>
      <w:r>
        <w:rPr>
          <w:sz w:val="28"/>
        </w:rPr>
        <w:t>обязательных требований</w:t>
      </w:r>
      <w:r>
        <w:rPr>
          <w:sz w:val="28"/>
        </w:rPr>
        <w:t>,</w:t>
      </w:r>
      <w:r>
        <w:rPr>
          <w:sz w:val="28"/>
        </w:rPr>
        <w:t xml:space="preserve"> установленных жилищным законодательством, </w:t>
      </w:r>
      <w:r>
        <w:rPr>
          <w:sz w:val="28"/>
        </w:rPr>
        <w:t>законодательством об энергосбережении и о повышении энергетической эффективности, законодательством о газоснабжении в отношении муниципального жилищного фонда</w:t>
      </w:r>
      <w:r>
        <w:rPr>
          <w:sz w:val="28"/>
        </w:rPr>
        <w:t xml:space="preserve"> (далее – обязательные требования</w:t>
      </w:r>
      <w:r>
        <w:rPr>
          <w:sz w:val="28"/>
        </w:rPr>
        <w:t xml:space="preserve">), </w:t>
      </w:r>
    </w:p>
    <w:p w14:paraId="1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устранение условий, причин и факторов, способных привести к нарушениям обязательных требований и (или) причинению вреда (ущерба) охраняемым законом ценностям;</w:t>
      </w:r>
    </w:p>
    <w:p w14:paraId="1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 Основными задачами реализации программы профилактики являются: </w:t>
      </w:r>
    </w:p>
    <w:p w14:paraId="1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а) укрепление системы профилактики нарушений рисков причинения вреда (ущерба) охраняемым законом ценностям;</w:t>
      </w:r>
    </w:p>
    <w:p w14:paraId="1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б) п</w:t>
      </w:r>
      <w:r>
        <w:rPr>
          <w:sz w:val="28"/>
        </w:rPr>
        <w:t>овышение правосознания, правовой культуры,</w:t>
      </w:r>
      <w:r>
        <w:rPr>
          <w:sz w:val="28"/>
        </w:rPr>
        <w:t xml:space="preserve"> уровня правовой грамотности</w:t>
      </w:r>
      <w:r>
        <w:rPr>
          <w:sz w:val="28"/>
        </w:rPr>
        <w:t xml:space="preserve"> контролируемых лиц, </w:t>
      </w:r>
      <w:r>
        <w:rPr>
          <w:sz w:val="28"/>
        </w:rPr>
        <w:t>в том числе путем обеспечения доступности информации об обязательных требованиях законодательства в сфере муниципального жилищного фонда и необходимых мерах по их исполнению.</w:t>
      </w:r>
    </w:p>
    <w:p w14:paraId="1B000000">
      <w:pPr>
        <w:rPr>
          <w:sz w:val="28"/>
        </w:rPr>
      </w:pPr>
    </w:p>
    <w:p w14:paraId="1C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>I</w:t>
      </w:r>
      <w:r>
        <w:rPr>
          <w:b w:val="1"/>
          <w:sz w:val="28"/>
        </w:rPr>
        <w:t xml:space="preserve">. Перечень профилактических мероприятий, сроки (периодичность) </w:t>
      </w:r>
    </w:p>
    <w:p w14:paraId="1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их проведения</w:t>
      </w:r>
    </w:p>
    <w:p w14:paraId="1E000000">
      <w:pPr>
        <w:rPr>
          <w:sz w:val="28"/>
        </w:rPr>
      </w:pP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49"/>
        <w:gridCol w:w="4988"/>
        <w:gridCol w:w="2055"/>
        <w:gridCol w:w="2145"/>
      </w:tblGrid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widowControl w:val="0"/>
              <w:ind/>
              <w:jc w:val="center"/>
            </w:pPr>
            <w:r>
              <w:t>Наименование профилактического мероприятия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widowControl w:val="0"/>
              <w:ind/>
              <w:jc w:val="center"/>
            </w:pPr>
            <w:r>
              <w:t>Срок (периодичность) проведения профилактических мероприятий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widowControl w:val="0"/>
              <w:ind/>
              <w:jc w:val="center"/>
            </w:pPr>
            <w:r>
              <w:t>Подразделение контрольного органа, ответственное за реализацию профилактических мероприятий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ИНФОРМИРОВАНИЕ</w:t>
            </w:r>
          </w:p>
          <w:p w14:paraId="25000000">
            <w:pPr>
              <w:widowControl w:val="0"/>
              <w:tabs>
                <w:tab w:leader="none" w:pos="1134" w:val="left"/>
              </w:tabs>
              <w:ind/>
              <w:contextualSpacing w:val="1"/>
              <w:jc w:val="center"/>
            </w:pPr>
            <w: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26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7000000">
            <w:pPr>
              <w:widowControl w:val="0"/>
              <w:ind/>
              <w:jc w:val="center"/>
            </w:pPr>
            <w:r>
              <w:t>В течение года реализации программы профилактики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 по строительству, транспорту, связи и ЖКХ (далее также — Отдел)</w:t>
            </w:r>
          </w:p>
        </w:tc>
      </w:tr>
      <w:tr>
        <w:trPr>
          <w:trHeight w:hRule="atLeast" w:val="2014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00000">
            <w:pPr>
              <w:widowControl w:val="0"/>
              <w:ind/>
              <w:jc w:val="center"/>
            </w:pPr>
            <w:r>
              <w:rPr>
                <w:b w:val="1"/>
              </w:rPr>
              <w:t>ОБЪЯВЛЕНИЕ ПРЕДОСТЕРЕЖЕНИЯ</w:t>
            </w:r>
          </w:p>
          <w:p w14:paraId="2B000000">
            <w:pPr>
              <w:widowControl w:val="0"/>
              <w:tabs>
                <w:tab w:leader="none" w:pos="1134" w:val="left"/>
              </w:tabs>
              <w:ind/>
              <w:jc w:val="both"/>
            </w:pPr>
          </w:p>
          <w:p w14:paraId="2C000000">
            <w:pPr>
              <w:widowControl w:val="0"/>
              <w:tabs>
                <w:tab w:leader="none" w:pos="1134" w:val="left"/>
              </w:tabs>
              <w:ind/>
              <w:jc w:val="center"/>
            </w:pPr>
            <w:r>
              <w:t>Предостережение о недопустимости нарушения обязательных требований объявляется контролируемому лицу в случаях, указанных в ч. 1 ст. 49 Федерального закона № 248-ФЗ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  <w:t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00000">
            <w:pPr>
              <w:widowControl w:val="0"/>
              <w:ind/>
              <w:jc w:val="center"/>
            </w:pPr>
            <w:r>
              <w:t>3.</w:t>
            </w:r>
          </w:p>
        </w:tc>
        <w:tc>
          <w:tcPr>
            <w:tcW w:type="dxa" w:w="4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КОНСУЛЬТИРОВАНИЕ</w:t>
            </w:r>
          </w:p>
          <w:p w14:paraId="31000000">
            <w:pPr>
              <w:widowControl w:val="0"/>
              <w:ind/>
              <w:jc w:val="center"/>
            </w:pPr>
          </w:p>
          <w:p w14:paraId="32000000">
            <w:pPr>
              <w:widowControl w:val="0"/>
              <w:ind/>
              <w:jc w:val="center"/>
            </w:pPr>
            <w:r>
      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</w:t>
            </w:r>
            <w:r>
              <w:t xml:space="preserve">жилищного </w:t>
            </w:r>
            <w:r>
              <w:t>контроля:</w:t>
            </w:r>
          </w:p>
          <w:p w14:paraId="33000000">
            <w:pPr>
              <w:widowControl w:val="0"/>
              <w:ind/>
              <w:jc w:val="center"/>
            </w:pPr>
          </w:p>
          <w:p w14:paraId="34000000">
            <w:pPr>
              <w:widowControl w:val="0"/>
              <w:ind/>
              <w:jc w:val="center"/>
            </w:pPr>
            <w:r>
              <w:t>а) порядка проведения контрольных мероприятий;</w:t>
            </w:r>
          </w:p>
          <w:p w14:paraId="35000000">
            <w:pPr>
              <w:widowControl w:val="0"/>
              <w:ind/>
              <w:jc w:val="center"/>
            </w:pPr>
          </w:p>
          <w:p w14:paraId="36000000">
            <w:pPr>
              <w:widowControl w:val="0"/>
              <w:ind/>
              <w:jc w:val="center"/>
            </w:pPr>
            <w:r>
              <w:t>б) периодичности проведения контрольных мероприятий;</w:t>
            </w:r>
          </w:p>
          <w:p w14:paraId="37000000">
            <w:pPr>
              <w:widowControl w:val="0"/>
              <w:ind/>
              <w:jc w:val="center"/>
            </w:pPr>
          </w:p>
          <w:p w14:paraId="38000000">
            <w:pPr>
              <w:widowControl w:val="0"/>
              <w:ind/>
              <w:jc w:val="center"/>
            </w:pPr>
            <w:r>
              <w:t>в) порядка принятия решений по итогам контрольных мероприятий;</w:t>
            </w:r>
          </w:p>
          <w:p w14:paraId="39000000">
            <w:pPr>
              <w:widowControl w:val="0"/>
              <w:ind/>
              <w:jc w:val="center"/>
            </w:pPr>
          </w:p>
          <w:p w14:paraId="3A000000">
            <w:pPr>
              <w:widowControl w:val="0"/>
              <w:ind/>
              <w:jc w:val="center"/>
            </w:pPr>
            <w:r>
              <w:t>г) порядка обжалования решений уполномоченного органа.</w:t>
            </w:r>
          </w:p>
          <w:p w14:paraId="3B000000">
            <w:pPr>
              <w:widowControl w:val="0"/>
              <w:ind/>
              <w:jc w:val="center"/>
            </w:pPr>
          </w:p>
          <w:p w14:paraId="3C000000">
            <w:pPr>
              <w:widowControl w:val="0"/>
              <w:ind/>
              <w:jc w:val="center"/>
            </w:pPr>
            <w:r>
              <w:t>Инспекторы осуществляют консультирование контролируемых лиц и их представителей:</w:t>
            </w:r>
          </w:p>
          <w:p w14:paraId="3D000000">
            <w:pPr>
              <w:widowControl w:val="0"/>
              <w:ind/>
              <w:jc w:val="center"/>
            </w:pPr>
            <w: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3E000000">
            <w:pPr>
              <w:widowControl w:val="0"/>
              <w:ind/>
              <w:jc w:val="center"/>
            </w:pPr>
          </w:p>
          <w:p w14:paraId="3F000000">
            <w:pPr>
              <w:widowControl w:val="0"/>
              <w:ind/>
              <w:jc w:val="center"/>
            </w:pPr>
            <w: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40000000">
            <w:pPr>
              <w:widowControl w:val="0"/>
              <w:ind/>
              <w:jc w:val="center"/>
            </w:pPr>
          </w:p>
          <w:p w14:paraId="41000000">
            <w:pPr>
              <w:widowControl w:val="0"/>
              <w:ind/>
              <w:jc w:val="center"/>
            </w:pPr>
            <w: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14:paraId="42000000">
            <w:pPr>
              <w:widowControl w:val="0"/>
              <w:ind/>
              <w:jc w:val="center"/>
            </w:pPr>
            <w:r>
              <w:t>Время разговора по телефону не должно превышать 10 минут.</w:t>
            </w:r>
          </w:p>
          <w:p w14:paraId="43000000">
            <w:pPr>
              <w:widowControl w:val="0"/>
              <w:ind/>
              <w:jc w:val="center"/>
            </w:pPr>
          </w:p>
          <w:p w14:paraId="44000000">
            <w:pPr>
              <w:widowControl w:val="0"/>
              <w:ind/>
              <w:jc w:val="center"/>
            </w:pPr>
            <w: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14:paraId="45000000">
            <w:pPr>
              <w:widowControl w:val="0"/>
              <w:ind/>
              <w:jc w:val="center"/>
            </w:pPr>
          </w:p>
          <w:p w14:paraId="46000000">
            <w:pPr>
              <w:widowControl w:val="0"/>
              <w:ind/>
              <w:jc w:val="center"/>
            </w:pPr>
            <w:r>
              <w:t xml:space="preserve"> Письменное консультирование контролируемых лиц и их представителей осуществляется по следующим вопросам:</w:t>
            </w:r>
          </w:p>
          <w:p w14:paraId="47000000">
            <w:pPr>
              <w:widowControl w:val="0"/>
              <w:ind/>
              <w:jc w:val="center"/>
            </w:pPr>
            <w:r>
              <w:t>1) порядок обжалования решений Контрольного органа;</w:t>
            </w:r>
          </w:p>
          <w:p w14:paraId="48000000">
            <w:pPr>
              <w:widowControl w:val="0"/>
              <w:ind/>
              <w:jc w:val="center"/>
            </w:pP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00000">
            <w:pPr>
              <w:widowControl w:val="0"/>
              <w:ind/>
              <w:jc w:val="center"/>
            </w:pPr>
            <w:r>
              <w:t>По мере необходимости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00000">
            <w:pPr>
              <w:widowControl w:val="0"/>
              <w:ind/>
              <w:jc w:val="center"/>
            </w:pPr>
            <w:r>
              <w:rPr>
                <w:color w:val="000000"/>
                <w:highlight w:val="white"/>
              </w:rPr>
              <w:t>Отдел</w:t>
            </w:r>
          </w:p>
        </w:tc>
      </w:tr>
    </w:tbl>
    <w:p w14:paraId="4B000000">
      <w:pPr>
        <w:widowControl w:val="0"/>
        <w:ind/>
        <w:jc w:val="both"/>
        <w:rPr>
          <w:sz w:val="28"/>
        </w:rPr>
      </w:pPr>
    </w:p>
    <w:p w14:paraId="4C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V</w:t>
      </w:r>
      <w:r>
        <w:rPr>
          <w:b w:val="1"/>
          <w:sz w:val="28"/>
        </w:rPr>
        <w:t xml:space="preserve">. Показатели результативности и эффективности </w:t>
      </w:r>
    </w:p>
    <w:p w14:paraId="4D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программы профилактики</w:t>
      </w:r>
    </w:p>
    <w:p w14:paraId="4E000000">
      <w:pPr>
        <w:rPr>
          <w:sz w:val="28"/>
        </w:rPr>
      </w:pPr>
    </w:p>
    <w:tbl>
      <w:tblPr>
        <w:tblW w:type="auto" w:w="0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41"/>
        <w:gridCol w:w="7292"/>
        <w:gridCol w:w="1695"/>
      </w:tblGrid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F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0000000">
            <w:pPr>
              <w:widowControl w:val="0"/>
              <w:ind/>
              <w:jc w:val="center"/>
            </w:pPr>
            <w:r>
              <w:t>Наименование показателя результативности и эффективности программы профилактики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1000000">
            <w:pPr>
              <w:widowControl w:val="0"/>
              <w:ind/>
              <w:jc w:val="center"/>
            </w:pPr>
            <w:r>
              <w:t>Величина</w:t>
            </w:r>
          </w:p>
        </w:tc>
      </w:tr>
      <w:tr>
        <w:trPr>
          <w:trHeight w:hRule="atLeast" w:val="1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widowControl w:val="0"/>
              <w:ind/>
              <w:jc w:val="both"/>
            </w:pPr>
            <w:r>
              <w:t>Полнота и актуальность сведений, предусмотренных частью 3 статьи 46 Федерального закона № 248-ФЗ, размещенных на официальном сайте Кашинского муниципального округа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ind/>
              <w:jc w:val="center"/>
            </w:pPr>
            <w:r>
              <w:t>100%</w:t>
            </w:r>
          </w:p>
        </w:tc>
      </w:tr>
      <w:tr>
        <w:trPr>
          <w:trHeight w:hRule="atLeast" w:val="1077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widowControl w:val="0"/>
              <w:ind/>
              <w:jc w:val="center"/>
            </w:pPr>
            <w:r>
              <w:t>2.</w:t>
            </w:r>
          </w:p>
        </w:tc>
        <w:tc>
          <w:tcPr>
            <w:tcW w:type="dxa" w:w="729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ind/>
              <w:jc w:val="both"/>
            </w:pPr>
            <w:r>
              <w:t>Удовлетворенность контролируемых лиц и их представителей консультированием контрольного органа</w:t>
            </w:r>
            <w:r>
              <w:t xml:space="preserve"> </w:t>
            </w:r>
            <w:r>
              <w:t xml:space="preserve">по вопросам, связанным с организацией и осуществлением муниципального </w:t>
            </w:r>
            <w:r>
              <w:t xml:space="preserve">жилищного </w:t>
            </w:r>
            <w:r>
              <w:t xml:space="preserve">контроля 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0"/>
              <w:ind/>
              <w:jc w:val="center"/>
            </w:pPr>
            <w:r>
              <w:t>100% от числа обратившихся</w:t>
            </w:r>
          </w:p>
        </w:tc>
      </w:tr>
    </w:tbl>
    <w:p w14:paraId="58000000">
      <w:pPr>
        <w:widowControl w:val="0"/>
        <w:ind/>
        <w:jc w:val="both"/>
        <w:rPr>
          <w:sz w:val="28"/>
        </w:rPr>
      </w:pPr>
    </w:p>
    <w:p w14:paraId="59000000">
      <w:pPr>
        <w:pStyle w:val="Style_1"/>
      </w:pPr>
    </w:p>
    <w:sectPr>
      <w:pgSz w:h="16848" w:orient="portrait" w:w="11908"/>
      <w:pgMar w:bottom="1134" w:footer="1134" w:header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Обычный1"/>
    <w:link w:val="Style_8_ch"/>
    <w:rPr>
      <w:sz w:val="28"/>
    </w:rPr>
  </w:style>
  <w:style w:styleId="Style_8_ch" w:type="character">
    <w:name w:val="Обычный1"/>
    <w:link w:val="Style_8"/>
    <w:rPr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sz w:val="28"/>
    </w:rPr>
  </w:style>
  <w:style w:styleId="Style_10_ch" w:type="character">
    <w:name w:val="toc 3"/>
    <w:link w:val="Style_10"/>
    <w:rPr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Обычный1"/>
    <w:link w:val="Style_13_ch"/>
    <w:rPr>
      <w:sz w:val="28"/>
    </w:rPr>
  </w:style>
  <w:style w:styleId="Style_13_ch" w:type="character">
    <w:name w:val="Обычный1"/>
    <w:link w:val="Style_13"/>
    <w:rPr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sz w:val="22"/>
    </w:rPr>
  </w:style>
  <w:style w:styleId="Style_15_ch" w:type="character">
    <w:name w:val="Footnote"/>
    <w:link w:val="Style_15"/>
    <w:rPr>
      <w:sz w:val="22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toc 1"/>
    <w:next w:val="Style_1"/>
    <w:link w:val="Style_17_ch"/>
    <w:uiPriority w:val="39"/>
    <w:rPr>
      <w:b w:val="1"/>
      <w:sz w:val="28"/>
    </w:rPr>
  </w:style>
  <w:style w:styleId="Style_17_ch" w:type="character">
    <w:name w:val="toc 1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sz w:val="28"/>
    </w:rPr>
  </w:style>
  <w:style w:styleId="Style_22_ch" w:type="character">
    <w:name w:val="toc 5"/>
    <w:link w:val="Style_22"/>
    <w:rPr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Subtitle"/>
    <w:next w:val="Style_1"/>
    <w:link w:val="Style_24_ch"/>
    <w:uiPriority w:val="11"/>
    <w:qFormat/>
    <w:pPr>
      <w:widowControl w:val="1"/>
      <w:ind/>
      <w:jc w:val="both"/>
    </w:pPr>
    <w:rPr>
      <w:i w:val="1"/>
    </w:rPr>
  </w:style>
  <w:style w:styleId="Style_24_ch" w:type="character">
    <w:name w:val="Subtitle"/>
    <w:link w:val="Style_24"/>
    <w:rPr>
      <w:i w:val="1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5_ch" w:type="character">
    <w:name w:val="Title"/>
    <w:link w:val="Style_25"/>
    <w:rPr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6_ch" w:type="character">
    <w:name w:val="heading 4"/>
    <w:link w:val="Style_26"/>
    <w:rPr>
      <w:b w:val="1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7_ch" w:type="character">
    <w:name w:val="heading 2"/>
    <w:link w:val="Style_27"/>
    <w:rPr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2025-12-15T08:13:09Z</dcterms:created>
  <dcterms:modified xsi:type="dcterms:W3CDTF">2025-12-15T08:13:09Z</dcterms:modified>
</cp:coreProperties>
</file>