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41"/>
        <w:gridCol w:w="1646"/>
        <w:gridCol w:w="2426"/>
        <w:gridCol w:w="2382"/>
        <w:gridCol w:w="687"/>
        <w:gridCol w:w="1498"/>
      </w:tblGrid>
      <w:tr>
        <w:trPr>
          <w:trHeight w:hRule="atLeast" w:val="360"/>
        </w:trPr>
        <w:tc>
          <w:tcPr>
            <w:tcW w:type="dxa" w:w="9180"/>
            <w:gridSpan w:val="6"/>
            <w:tcBorders>
              <w:top w:sz="4" w:val="nil"/>
              <w:left w:sz="4" w:val="nil"/>
              <w:bottom w:sz="4" w:val="nil"/>
              <w:right w:sz="4" w:val="nil"/>
              <w:tl2br w:sz="4" w:val="nil"/>
              <w:tr2bl w:sz="4" w:val="nil"/>
            </w:tcBorders>
            <w:tcMar>
              <w:top w:type="dxa" w:w="0"/>
              <w:left w:type="dxa" w:w="108"/>
              <w:bottom w:type="dxa" w:w="0"/>
              <w:right w:type="dxa" w:w="108"/>
            </w:tcMar>
            <w:vAlign w:val="center"/>
          </w:tcPr>
          <w:p w14:paraId="01000000">
            <w:pPr>
              <w:widowControl w:val="1"/>
              <w:pBdr>
                <w:top w:sz="4" w:val="nil"/>
                <w:left w:sz="4" w:val="nil"/>
                <w:bottom w:sz="4" w:val="nil"/>
                <w:right w:sz="4" w:val="nil"/>
              </w:pBdr>
              <w:ind/>
              <w:jc w:val="center"/>
              <w:rPr>
                <w:b w:val="1"/>
              </w:rPr>
            </w:pPr>
            <w:r>
              <w:drawing>
                <wp:inline>
                  <wp:extent cx="571500" cy="723897"/>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571500" cy="723897"/>
                          </a:xfrm>
                          <a:prstGeom prst="rect"/>
                        </pic:spPr>
                      </pic:pic>
                    </a:graphicData>
                  </a:graphic>
                </wp:inline>
              </w:drawing>
            </w:r>
          </w:p>
          <w:p w14:paraId="02000000">
            <w:pPr>
              <w:widowControl w:val="1"/>
              <w:pBdr>
                <w:top w:sz="4" w:val="nil"/>
                <w:left w:sz="4" w:val="nil"/>
                <w:bottom w:sz="4" w:val="nil"/>
                <w:right w:sz="4" w:val="nil"/>
              </w:pBdr>
              <w:ind/>
              <w:jc w:val="center"/>
              <w:rPr>
                <w:b w:val="1"/>
                <w:caps w:val="1"/>
                <w:sz w:val="32"/>
              </w:rPr>
            </w:pPr>
            <w:r>
              <w:rPr>
                <w:b w:val="1"/>
                <w:caps w:val="1"/>
              </w:rPr>
              <w:t>Дума Кашинского муниципального округа</w:t>
            </w:r>
          </w:p>
          <w:p w14:paraId="03000000">
            <w:pPr>
              <w:widowControl w:val="1"/>
              <w:pBdr>
                <w:top w:sz="4" w:val="nil"/>
                <w:left w:sz="4" w:val="nil"/>
                <w:bottom w:sz="4" w:val="nil"/>
                <w:right w:sz="4" w:val="nil"/>
              </w:pBdr>
              <w:ind/>
              <w:jc w:val="center"/>
              <w:rPr>
                <w:b w:val="1"/>
                <w:caps w:val="1"/>
                <w:sz w:val="32"/>
              </w:rPr>
            </w:pPr>
            <w:r>
              <w:rPr>
                <w:b w:val="1"/>
                <w:caps w:val="1"/>
              </w:rPr>
              <w:t>ТВЕРСКОЙ ОБЛАСТИ</w:t>
            </w:r>
          </w:p>
          <w:p w14:paraId="04000000">
            <w:pPr>
              <w:widowControl w:val="1"/>
              <w:pBdr>
                <w:top w:sz="4" w:val="nil"/>
                <w:left w:sz="4" w:val="nil"/>
                <w:bottom w:sz="4" w:val="nil"/>
                <w:right w:sz="4" w:val="nil"/>
              </w:pBdr>
              <w:spacing w:after="120" w:before="120"/>
              <w:ind w:left="120" w:right="120"/>
              <w:jc w:val="center"/>
              <w:rPr>
                <w:b w:val="1"/>
                <w:sz w:val="32"/>
              </w:rPr>
            </w:pPr>
          </w:p>
          <w:p w14:paraId="05000000">
            <w:pPr>
              <w:widowControl w:val="1"/>
              <w:pBdr>
                <w:top w:sz="4" w:val="nil"/>
                <w:left w:sz="4" w:val="nil"/>
                <w:bottom w:sz="4" w:val="nil"/>
                <w:right w:sz="4" w:val="nil"/>
              </w:pBdr>
              <w:spacing w:after="120" w:before="120"/>
              <w:ind w:left="120" w:right="120"/>
              <w:jc w:val="center"/>
              <w:rPr>
                <w:b w:val="1"/>
                <w:sz w:val="32"/>
              </w:rPr>
            </w:pPr>
            <w:r>
              <w:rPr>
                <w:b w:val="1"/>
                <w:sz w:val="32"/>
              </w:rPr>
              <w:t>Р Е Ш Е Н И Е</w:t>
            </w:r>
          </w:p>
        </w:tc>
      </w:tr>
      <w:tr>
        <w:trPr>
          <w:trHeight w:hRule="atLeast" w:val="564"/>
        </w:trPr>
        <w:tc>
          <w:tcPr>
            <w:tcW w:type="dxa" w:w="541"/>
            <w:tcBorders>
              <w:top w:sz="4" w:val="nil"/>
              <w:left w:sz="4" w:val="nil"/>
              <w:bottom w:sz="4" w:val="nil"/>
              <w:right w:sz="4" w:val="nil"/>
              <w:tl2br w:sz="4" w:val="nil"/>
              <w:tr2bl w:sz="4" w:val="nil"/>
            </w:tcBorders>
            <w:tcMar>
              <w:top w:type="dxa" w:w="0"/>
              <w:left w:type="dxa" w:w="108"/>
              <w:bottom w:type="dxa" w:w="0"/>
              <w:right w:type="dxa" w:w="108"/>
            </w:tcMar>
            <w:vAlign w:val="bottom"/>
          </w:tcPr>
          <w:p w14:paraId="06000000">
            <w:pPr>
              <w:widowControl w:val="1"/>
              <w:pBdr>
                <w:top w:sz="4" w:val="nil"/>
                <w:left w:sz="4" w:val="nil"/>
                <w:bottom w:sz="4" w:val="nil"/>
                <w:right w:sz="4" w:val="nil"/>
              </w:pBdr>
              <w:ind/>
              <w:jc w:val="center"/>
            </w:pPr>
            <w:r>
              <w:t>от</w:t>
            </w:r>
          </w:p>
        </w:tc>
        <w:tc>
          <w:tcPr>
            <w:tcW w:type="dxa" w:w="1646"/>
            <w:tcBorders>
              <w:top w:sz="4" w:val="nil"/>
              <w:left w:sz="4" w:val="nil"/>
              <w:bottom w:color="000000" w:sz="6" w:val="single"/>
              <w:right w:sz="4" w:val="nil"/>
              <w:tl2br w:sz="4" w:val="nil"/>
              <w:tr2bl w:sz="4" w:val="nil"/>
            </w:tcBorders>
            <w:tcMar>
              <w:top w:type="dxa" w:w="0"/>
              <w:left w:type="dxa" w:w="108"/>
              <w:bottom w:type="dxa" w:w="0"/>
              <w:right w:type="dxa" w:w="108"/>
            </w:tcMar>
            <w:vAlign w:val="bottom"/>
          </w:tcPr>
          <w:p w14:paraId="07000000">
            <w:r>
              <w:t>30.09.2025</w:t>
            </w:r>
          </w:p>
        </w:tc>
        <w:tc>
          <w:tcPr>
            <w:tcW w:type="dxa" w:w="4808"/>
            <w:gridSpan w:val="2"/>
            <w:tcBorders>
              <w:top w:sz="4" w:val="nil"/>
              <w:left w:sz="4" w:val="nil"/>
              <w:bottom w:sz="4" w:val="nil"/>
              <w:right w:sz="4" w:val="nil"/>
              <w:tl2br w:sz="4" w:val="nil"/>
              <w:tr2bl w:sz="4" w:val="nil"/>
            </w:tcBorders>
            <w:tcMar>
              <w:top w:type="dxa" w:w="0"/>
              <w:left w:type="dxa" w:w="108"/>
              <w:bottom w:type="dxa" w:w="0"/>
              <w:right w:type="dxa" w:w="108"/>
            </w:tcMar>
            <w:vAlign w:val="bottom"/>
          </w:tcPr>
          <w:p w14:paraId="08000000">
            <w:pPr>
              <w:widowControl w:val="1"/>
              <w:pBdr>
                <w:top w:sz="4" w:val="nil"/>
                <w:left w:sz="4" w:val="nil"/>
                <w:bottom w:sz="4" w:val="nil"/>
                <w:right w:sz="4" w:val="nil"/>
              </w:pBdr>
              <w:ind/>
              <w:jc w:val="center"/>
            </w:pPr>
            <w:r>
              <w:t>г. Кашин</w:t>
            </w:r>
          </w:p>
        </w:tc>
        <w:tc>
          <w:tcPr>
            <w:tcW w:type="dxa" w:w="687"/>
            <w:tcBorders>
              <w:top w:sz="4" w:val="nil"/>
              <w:left w:sz="4" w:val="nil"/>
              <w:bottom w:sz="4" w:val="nil"/>
              <w:right w:sz="4" w:val="nil"/>
              <w:tl2br w:sz="4" w:val="nil"/>
              <w:tr2bl w:sz="4" w:val="nil"/>
            </w:tcBorders>
            <w:tcMar>
              <w:top w:type="dxa" w:w="0"/>
              <w:left w:type="dxa" w:w="108"/>
              <w:bottom w:type="dxa" w:w="0"/>
              <w:right w:type="dxa" w:w="108"/>
            </w:tcMar>
            <w:vAlign w:val="bottom"/>
          </w:tcPr>
          <w:p w14:paraId="09000000">
            <w:pPr>
              <w:widowControl w:val="1"/>
              <w:pBdr>
                <w:top w:sz="4" w:val="nil"/>
                <w:left w:sz="4" w:val="nil"/>
                <w:bottom w:sz="4" w:val="nil"/>
                <w:right w:sz="4" w:val="nil"/>
              </w:pBdr>
              <w:ind/>
              <w:jc w:val="center"/>
            </w:pPr>
            <w:r>
              <w:t>№</w:t>
            </w:r>
          </w:p>
        </w:tc>
        <w:tc>
          <w:tcPr>
            <w:tcW w:type="dxa" w:w="1498"/>
            <w:tcBorders>
              <w:top w:sz="4" w:val="nil"/>
              <w:left w:sz="4" w:val="nil"/>
              <w:bottom w:color="000000" w:sz="6" w:val="single"/>
              <w:right w:sz="4" w:val="nil"/>
              <w:tl2br w:sz="4" w:val="nil"/>
              <w:tr2bl w:sz="4" w:val="nil"/>
            </w:tcBorders>
            <w:tcMar>
              <w:top w:type="dxa" w:w="0"/>
              <w:left w:type="dxa" w:w="108"/>
              <w:bottom w:type="dxa" w:w="0"/>
              <w:right w:type="dxa" w:w="108"/>
            </w:tcMar>
            <w:vAlign w:val="bottom"/>
          </w:tcPr>
          <w:p w14:paraId="0A000000">
            <w:r>
              <w:t>173</w:t>
            </w:r>
          </w:p>
        </w:tc>
      </w:tr>
      <w:tr>
        <w:trPr>
          <w:trHeight w:hRule="atLeast" w:val="360"/>
        </w:trPr>
        <w:tc>
          <w:tcPr>
            <w:tcW w:type="dxa" w:w="9180"/>
            <w:gridSpan w:val="6"/>
            <w:tcBorders>
              <w:top w:sz="4" w:val="nil"/>
              <w:left w:sz="4" w:val="nil"/>
              <w:bottom w:sz="4" w:val="nil"/>
              <w:right w:sz="4" w:val="nil"/>
              <w:tl2br w:sz="4" w:val="nil"/>
              <w:tr2bl w:sz="4" w:val="nil"/>
            </w:tcBorders>
            <w:tcMar>
              <w:top w:type="dxa" w:w="0"/>
              <w:left w:type="dxa" w:w="108"/>
              <w:bottom w:type="dxa" w:w="0"/>
              <w:right w:type="dxa" w:w="108"/>
            </w:tcMar>
            <w:vAlign w:val="center"/>
          </w:tcPr>
          <w:p w14:paraId="0B000000">
            <w:pPr>
              <w:widowControl w:val="1"/>
              <w:pBdr>
                <w:top w:sz="4" w:val="nil"/>
                <w:left w:sz="4" w:val="nil"/>
                <w:bottom w:sz="4" w:val="nil"/>
                <w:right w:sz="4" w:val="nil"/>
              </w:pBdr>
              <w:ind/>
            </w:pPr>
          </w:p>
        </w:tc>
      </w:tr>
      <w:tr>
        <w:trPr>
          <w:trHeight w:hRule="atLeast" w:val="615"/>
        </w:trPr>
        <w:tc>
          <w:tcPr>
            <w:tcW w:type="dxa" w:w="4613"/>
            <w:gridSpan w:val="3"/>
            <w:tcBorders>
              <w:top w:sz="4" w:val="nil"/>
              <w:left w:sz="4" w:val="nil"/>
              <w:bottom w:sz="4" w:val="nil"/>
              <w:right w:sz="4" w:val="nil"/>
              <w:tl2br w:sz="4" w:val="nil"/>
              <w:tr2bl w:sz="4" w:val="nil"/>
            </w:tcBorders>
            <w:tcMar>
              <w:top w:type="dxa" w:w="0"/>
              <w:left w:type="dxa" w:w="108"/>
              <w:bottom w:type="dxa" w:w="0"/>
              <w:right w:type="dxa" w:w="108"/>
            </w:tcMar>
            <w:vAlign w:val="center"/>
          </w:tcPr>
          <w:p w14:paraId="0C000000">
            <w:r>
              <w:t>О рассмотрении вопроса о финансировании проектно-</w:t>
            </w:r>
            <w:r>
              <w:t xml:space="preserve">сметной документации на </w:t>
            </w:r>
            <w:r>
              <w:t>у</w:t>
            </w:r>
            <w:r>
              <w:t>стройство ограждения территории МУ «Стадион» по адресу: 171640, Тверская обл</w:t>
            </w:r>
            <w:r>
              <w:t>.</w:t>
            </w:r>
            <w:r>
              <w:t xml:space="preserve">, Кашинский р-н, г.Кашин, шоссе Калининское </w:t>
            </w:r>
            <w:r>
              <w:t>из бюджета Кашинского муниципального округа Тверской области  в 2025–2026 гг.</w:t>
            </w:r>
          </w:p>
          <w:p w14:paraId="0D000000">
            <w:pPr>
              <w:widowControl w:val="1"/>
              <w:pBdr>
                <w:top w:sz="4" w:val="nil"/>
                <w:left w:sz="4" w:val="nil"/>
                <w:bottom w:sz="4" w:val="nil"/>
                <w:right w:sz="4" w:val="nil"/>
              </w:pBdr>
              <w:ind/>
            </w:pPr>
          </w:p>
        </w:tc>
        <w:tc>
          <w:tcPr>
            <w:tcW w:type="dxa" w:w="4567"/>
            <w:gridSpan w:val="3"/>
            <w:tcBorders>
              <w:top w:sz="4" w:val="nil"/>
              <w:left w:sz="4" w:val="nil"/>
              <w:bottom w:sz="4" w:val="nil"/>
              <w:right w:sz="4" w:val="nil"/>
              <w:tl2br w:sz="4" w:val="nil"/>
              <w:tr2bl w:sz="4" w:val="nil"/>
            </w:tcBorders>
            <w:tcMar>
              <w:top w:type="dxa" w:w="0"/>
              <w:left w:type="dxa" w:w="108"/>
              <w:bottom w:type="dxa" w:w="0"/>
              <w:right w:type="dxa" w:w="108"/>
            </w:tcMar>
            <w:vAlign w:val="center"/>
          </w:tcPr>
          <w:p w14:paraId="0E000000">
            <w:pPr>
              <w:widowControl w:val="1"/>
              <w:pBdr>
                <w:top w:sz="4" w:val="nil"/>
                <w:left w:sz="4" w:val="nil"/>
                <w:bottom w:sz="4" w:val="nil"/>
                <w:right w:sz="4" w:val="nil"/>
              </w:pBdr>
              <w:ind/>
            </w:pPr>
          </w:p>
        </w:tc>
      </w:tr>
    </w:tbl>
    <w:p w14:paraId="0F000000"/>
    <w:p w14:paraId="10000000">
      <w:pPr>
        <w:widowControl w:val="1"/>
        <w:ind w:firstLine="709"/>
      </w:pPr>
      <w:r>
        <w:t>Рассмотрев обращение Администрации Кашинского муниципального округа Тверской области от </w:t>
      </w:r>
      <w:r>
        <w:t>01</w:t>
      </w:r>
      <w:r>
        <w:t>.0</w:t>
      </w:r>
      <w:r>
        <w:t>8</w:t>
      </w:r>
      <w:r>
        <w:t>.2025 № ИСХ-</w:t>
      </w:r>
      <w:r>
        <w:t>ККТ-02607</w:t>
      </w:r>
      <w:bookmarkStart w:id="1" w:name="_GoBack"/>
      <w:bookmarkEnd w:id="1"/>
      <w:r>
        <w:t xml:space="preserve"> о возможности в 2025–2026 гг. выделения Администрации Кашинского муниципального округа Тверской области финансирования из бюджета Кашинского муниципального округа Тверской области (в том числе путем перераспределения утвержденных расходов бюджета Кашинского муниципального округа Тверской области) на </w:t>
      </w:r>
      <w:bookmarkStart w:id="2" w:name="_Hlk203979646"/>
      <w:r>
        <w:t xml:space="preserve">мероприятия по антитеррористической защищенности объекта Муниципального учреждения Кашинского муниципального округа Тверской области «Стадион» (выполнение работ по установке ограждения территории МУ «Стадион») </w:t>
      </w:r>
      <w:bookmarkEnd w:id="2"/>
      <w:r>
        <w:t>в размере</w:t>
      </w:r>
      <w:r>
        <w:t xml:space="preserve"> 12 683 380 рублей </w:t>
      </w:r>
      <w:r>
        <w:t>00 коп.,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и Уставом Кашинского муниципального округа Тверской области</w:t>
      </w:r>
    </w:p>
    <w:p w14:paraId="11000000">
      <w:r>
        <w:t> </w:t>
      </w:r>
    </w:p>
    <w:p w14:paraId="12000000">
      <w:pPr>
        <w:widowControl w:val="1"/>
        <w:pBdr>
          <w:top w:sz="4" w:val="nil"/>
          <w:left w:sz="4" w:val="nil"/>
          <w:bottom w:sz="4" w:val="nil"/>
          <w:right w:sz="4" w:val="nil"/>
        </w:pBdr>
        <w:ind/>
        <w:jc w:val="center"/>
        <w:rPr>
          <w:b w:val="1"/>
          <w:caps w:val="1"/>
          <w:sz w:val="32"/>
        </w:rPr>
      </w:pPr>
      <w:r>
        <w:rPr>
          <w:b w:val="1"/>
          <w:caps w:val="1"/>
        </w:rPr>
        <w:t>Дума Кашинского муниципального округа</w:t>
      </w:r>
    </w:p>
    <w:p w14:paraId="13000000">
      <w:pPr>
        <w:widowControl w:val="1"/>
        <w:pBdr>
          <w:top w:sz="4" w:val="nil"/>
          <w:left w:sz="4" w:val="nil"/>
          <w:bottom w:sz="4" w:val="nil"/>
          <w:right w:sz="4" w:val="nil"/>
        </w:pBdr>
        <w:ind/>
        <w:jc w:val="center"/>
        <w:rPr>
          <w:b w:val="1"/>
          <w:caps w:val="1"/>
          <w:sz w:val="32"/>
        </w:rPr>
      </w:pPr>
      <w:r>
        <w:rPr>
          <w:b w:val="1"/>
          <w:caps w:val="1"/>
        </w:rPr>
        <w:t>ТВЕРСКОЙ ОБЛАСТИ</w:t>
      </w:r>
      <w:r>
        <w:rPr>
          <w:b w:val="1"/>
        </w:rPr>
        <w:t xml:space="preserve"> РЕШИЛА: </w:t>
      </w:r>
    </w:p>
    <w:p w14:paraId="14000000"/>
    <w:p w14:paraId="15000000">
      <w:pPr>
        <w:widowControl w:val="1"/>
        <w:ind w:firstLine="709"/>
      </w:pPr>
      <w:r>
        <w:t xml:space="preserve">1. Отказать Администрации Кашинского муниципального округа Тверской области в выделении в 2025 и 2026 гг. финансирования из бюджета </w:t>
      </w:r>
      <w:r>
        <w:t xml:space="preserve">Кашинского муниципального округа Тверской области (в том числе путем перераспределения утвержденных расходов бюджета Кашинского муниципального округа Тверской области) на </w:t>
      </w:r>
      <w:r>
        <w:t>мероприятия по антитеррористической защищенности объекта Муниципального учреждения Кашинского муниципального округа Тверской области «Стадион» (выполнение работ по установке ограждения территории МУ «Стадион»)</w:t>
      </w:r>
      <w:r>
        <w:t xml:space="preserve"> </w:t>
      </w:r>
      <w:r>
        <w:t>размере 12 683 380 рублей 00 коп.</w:t>
      </w:r>
    </w:p>
    <w:p w14:paraId="16000000">
      <w:pPr>
        <w:widowControl w:val="1"/>
        <w:ind w:firstLine="709"/>
      </w:pPr>
      <w:r>
        <w:t>2. Настоящее решение вступает в силу со дня его принятия, подлежит официальному опубликованию в газете «Кашинская газета» и размещению на официальном сайте Кашинского муниципального округа Тверской области в информационно-телекоммуникационной сети «Интернет».</w:t>
      </w:r>
    </w:p>
    <w:p w14:paraId="17000000">
      <w:pPr>
        <w:widowControl w:val="1"/>
        <w:ind w:firstLine="709"/>
      </w:pPr>
    </w:p>
    <w:p w14:paraId="18000000"/>
    <w:p w14:paraId="19000000"/>
    <w:tbl>
      <w:tblPr>
        <w:tblStyle w:val="Style_1"/>
        <w:tblW w:type="auto" w:w="0"/>
        <w:tblLayout w:type="fixed"/>
      </w:tblPr>
      <w:tblGrid>
        <w:gridCol w:w="5509"/>
        <w:gridCol w:w="4129"/>
      </w:tblGrid>
      <w:tr>
        <w:tc>
          <w:tcPr>
            <w:tcW w:type="dxa" w:w="5509"/>
            <w:tcMar>
              <w:top w:type="dxa" w:w="0"/>
              <w:left w:type="dxa" w:w="108"/>
              <w:bottom w:type="dxa" w:w="0"/>
              <w:right w:type="dxa" w:w="108"/>
            </w:tcMar>
          </w:tcPr>
          <w:p w14:paraId="1A000000">
            <w:pPr>
              <w:widowControl w:val="0"/>
              <w:ind/>
            </w:pPr>
            <w:r>
              <w:t xml:space="preserve">Председатель Думы Кашинского </w:t>
            </w:r>
          </w:p>
          <w:p w14:paraId="1B000000">
            <w:r>
              <w:t>муниципального округа Тверской области</w:t>
            </w:r>
          </w:p>
        </w:tc>
        <w:tc>
          <w:tcPr>
            <w:tcW w:type="dxa" w:w="4129"/>
            <w:tcMar>
              <w:top w:type="dxa" w:w="0"/>
              <w:left w:type="dxa" w:w="108"/>
              <w:bottom w:type="dxa" w:w="0"/>
              <w:right w:type="dxa" w:w="108"/>
            </w:tcMar>
            <w:vAlign w:val="bottom"/>
          </w:tcPr>
          <w:p w14:paraId="1C000000">
            <w:pPr>
              <w:widowControl w:val="1"/>
              <w:ind/>
              <w:jc w:val="right"/>
            </w:pPr>
            <w:r>
              <w:rPr>
                <w:rFonts w:ascii="XO Thames" w:hAnsi="XO Thames"/>
                <w:sz w:val="28"/>
              </w:rPr>
              <w:t>И.А. Мурашова</w:t>
            </w:r>
          </w:p>
        </w:tc>
      </w:tr>
    </w:tbl>
    <w:p w14:paraId="1D000000"/>
    <w:sectPr>
      <w:pgSz w:h="16848" w:orient="portrait" w:w="11908"/>
      <w:pgMar w:bottom="1134" w:footer="1134" w:gutter="0" w:header="1134"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ind/>
      <w:jc w:val="both"/>
    </w:pPr>
    <w:rPr>
      <w:sz w:val="28"/>
    </w:rPr>
  </w:style>
  <w:style w:default="1" w:styleId="Style_2_ch" w:type="character">
    <w:name w:val="Normal"/>
    <w:link w:val="Style_2"/>
    <w:rPr>
      <w:sz w:val="28"/>
    </w:rPr>
  </w:style>
  <w:style w:styleId="Style_3" w:type="paragraph">
    <w:name w:val="toc 2"/>
    <w:basedOn w:val="Style_2"/>
    <w:next w:val="Style_2"/>
    <w:link w:val="Style_3_ch"/>
    <w:uiPriority w:val="39"/>
    <w:pPr>
      <w:widowControl w:val="1"/>
      <w:ind w:left="200"/>
    </w:pPr>
  </w:style>
  <w:style w:styleId="Style_3_ch" w:type="character">
    <w:name w:val="toc 2"/>
    <w:basedOn w:val="Style_2_ch"/>
    <w:link w:val="Style_3"/>
  </w:style>
  <w:style w:styleId="Style_4" w:type="paragraph">
    <w:name w:val="toc 4"/>
    <w:basedOn w:val="Style_2"/>
    <w:next w:val="Style_2"/>
    <w:link w:val="Style_4_ch"/>
    <w:uiPriority w:val="39"/>
    <w:pPr>
      <w:widowControl w:val="1"/>
      <w:ind w:left="600"/>
    </w:pPr>
  </w:style>
  <w:style w:styleId="Style_4_ch" w:type="character">
    <w:name w:val="toc 4"/>
    <w:basedOn w:val="Style_2_ch"/>
    <w:link w:val="Style_4"/>
  </w:style>
  <w:style w:styleId="Style_5" w:type="paragraph">
    <w:name w:val="toc 6"/>
    <w:basedOn w:val="Style_2"/>
    <w:next w:val="Style_2"/>
    <w:link w:val="Style_5_ch"/>
    <w:uiPriority w:val="39"/>
    <w:pPr>
      <w:widowControl w:val="1"/>
      <w:ind w:left="1000"/>
    </w:pPr>
  </w:style>
  <w:style w:styleId="Style_5_ch" w:type="character">
    <w:name w:val="toc 6"/>
    <w:basedOn w:val="Style_2_ch"/>
    <w:link w:val="Style_5"/>
  </w:style>
  <w:style w:styleId="Style_6" w:type="paragraph">
    <w:name w:val="Обычный1"/>
    <w:link w:val="Style_6_ch"/>
    <w:rPr>
      <w:sz w:val="28"/>
    </w:rPr>
  </w:style>
  <w:style w:styleId="Style_6_ch" w:type="character">
    <w:name w:val="Обычный1"/>
    <w:link w:val="Style_6"/>
    <w:rPr>
      <w:sz w:val="28"/>
    </w:rPr>
  </w:style>
  <w:style w:styleId="Style_7" w:type="paragraph">
    <w:name w:val="toc 7"/>
    <w:basedOn w:val="Style_2"/>
    <w:next w:val="Style_2"/>
    <w:link w:val="Style_7_ch"/>
    <w:uiPriority w:val="39"/>
    <w:pPr>
      <w:widowControl w:val="1"/>
      <w:ind w:left="1200"/>
    </w:pPr>
  </w:style>
  <w:style w:styleId="Style_7_ch" w:type="character">
    <w:name w:val="toc 7"/>
    <w:basedOn w:val="Style_2_ch"/>
    <w:link w:val="Style_7"/>
  </w:style>
  <w:style w:styleId="Style_8" w:type="paragraph">
    <w:name w:val="Endnote"/>
    <w:link w:val="Style_8_ch"/>
    <w:pPr>
      <w:widowControl w:val="1"/>
      <w:ind w:firstLine="851"/>
      <w:jc w:val="both"/>
    </w:pPr>
    <w:rPr>
      <w:sz w:val="22"/>
    </w:rPr>
  </w:style>
  <w:style w:styleId="Style_8_ch" w:type="character">
    <w:name w:val="Endnote"/>
    <w:link w:val="Style_8"/>
    <w:rPr>
      <w:sz w:val="22"/>
    </w:rPr>
  </w:style>
  <w:style w:styleId="Style_9" w:type="paragraph">
    <w:name w:val="heading 3"/>
    <w:basedOn w:val="Style_2"/>
    <w:next w:val="Style_2"/>
    <w:link w:val="Style_9_ch"/>
    <w:uiPriority w:val="9"/>
    <w:qFormat/>
    <w:pPr>
      <w:widowControl w:val="1"/>
      <w:spacing w:after="120" w:before="120"/>
      <w:ind/>
      <w:outlineLvl w:val="2"/>
    </w:pPr>
    <w:rPr>
      <w:b w:val="1"/>
      <w:sz w:val="26"/>
    </w:rPr>
  </w:style>
  <w:style w:styleId="Style_9_ch" w:type="character">
    <w:name w:val="heading 3"/>
    <w:basedOn w:val="Style_2_ch"/>
    <w:link w:val="Style_9"/>
    <w:rPr>
      <w:b w:val="1"/>
      <w:sz w:val="26"/>
    </w:rPr>
  </w:style>
  <w:style w:styleId="Style_10" w:type="paragraph">
    <w:name w:val="Основной шрифт абзаца2"/>
    <w:link w:val="Style_10_ch"/>
  </w:style>
  <w:style w:styleId="Style_10_ch" w:type="character">
    <w:name w:val="Основной шрифт абзаца2"/>
    <w:link w:val="Style_10"/>
  </w:style>
  <w:style w:styleId="Style_11" w:type="paragraph">
    <w:name w:val="Гиперссылка1"/>
    <w:link w:val="Style_11_ch"/>
    <w:rPr>
      <w:color w:val="0000FF"/>
      <w:u w:val="single"/>
    </w:rPr>
  </w:style>
  <w:style w:styleId="Style_11_ch" w:type="character">
    <w:name w:val="Гиперссылка1"/>
    <w:link w:val="Style_11"/>
    <w:rPr>
      <w:color w:val="0000FF"/>
      <w:u w:val="single"/>
    </w:rPr>
  </w:style>
  <w:style w:styleId="Style_12" w:type="paragraph">
    <w:name w:val="Обычный1"/>
    <w:link w:val="Style_12_ch"/>
    <w:rPr>
      <w:sz w:val="28"/>
    </w:rPr>
  </w:style>
  <w:style w:styleId="Style_12_ch" w:type="character">
    <w:name w:val="Обычный1"/>
    <w:link w:val="Style_12"/>
    <w:rPr>
      <w:sz w:val="28"/>
    </w:rPr>
  </w:style>
  <w:style w:styleId="Style_13" w:type="paragraph">
    <w:name w:val="toc 3"/>
    <w:basedOn w:val="Style_2"/>
    <w:next w:val="Style_2"/>
    <w:link w:val="Style_13_ch"/>
    <w:uiPriority w:val="39"/>
    <w:pPr>
      <w:widowControl w:val="1"/>
      <w:ind w:left="400"/>
    </w:pPr>
  </w:style>
  <w:style w:styleId="Style_13_ch" w:type="character">
    <w:name w:val="toc 3"/>
    <w:basedOn w:val="Style_2_ch"/>
    <w:link w:val="Style_13"/>
  </w:style>
  <w:style w:styleId="Style_14" w:type="paragraph">
    <w:name w:val="Основной шрифт абзаца1"/>
    <w:link w:val="Style_14_ch"/>
  </w:style>
  <w:style w:styleId="Style_14_ch" w:type="character">
    <w:name w:val="Основной шрифт абзаца1"/>
    <w:link w:val="Style_14"/>
  </w:style>
  <w:style w:styleId="Style_15" w:type="paragraph">
    <w:name w:val="Гиперссылка1"/>
    <w:link w:val="Style_15_ch"/>
    <w:rPr>
      <w:color w:val="0000FF"/>
      <w:u w:val="single"/>
    </w:rPr>
  </w:style>
  <w:style w:styleId="Style_15_ch" w:type="character">
    <w:name w:val="Гиперссылка1"/>
    <w:link w:val="Style_15"/>
    <w:rPr>
      <w:color w:val="0000FF"/>
      <w:u w:val="single"/>
    </w:rPr>
  </w:style>
  <w:style w:styleId="Style_16" w:type="paragraph">
    <w:name w:val="heading 5"/>
    <w:basedOn w:val="Style_2"/>
    <w:next w:val="Style_2"/>
    <w:link w:val="Style_16_ch"/>
    <w:uiPriority w:val="9"/>
    <w:qFormat/>
    <w:pPr>
      <w:widowControl w:val="1"/>
      <w:spacing w:after="120" w:before="120"/>
      <w:ind/>
      <w:outlineLvl w:val="4"/>
    </w:pPr>
    <w:rPr>
      <w:b w:val="1"/>
      <w:sz w:val="22"/>
    </w:rPr>
  </w:style>
  <w:style w:styleId="Style_16_ch" w:type="character">
    <w:name w:val="heading 5"/>
    <w:basedOn w:val="Style_2_ch"/>
    <w:link w:val="Style_16"/>
    <w:rPr>
      <w:b w:val="1"/>
      <w:sz w:val="22"/>
    </w:rPr>
  </w:style>
  <w:style w:styleId="Style_17" w:type="paragraph">
    <w:name w:val="heading 1"/>
    <w:basedOn w:val="Style_2"/>
    <w:next w:val="Style_2"/>
    <w:link w:val="Style_17_ch"/>
    <w:uiPriority w:val="9"/>
    <w:qFormat/>
    <w:pPr>
      <w:widowControl w:val="1"/>
      <w:spacing w:after="120" w:before="120"/>
      <w:ind/>
      <w:outlineLvl w:val="0"/>
    </w:pPr>
    <w:rPr>
      <w:b w:val="1"/>
      <w:sz w:val="32"/>
    </w:rPr>
  </w:style>
  <w:style w:styleId="Style_17_ch" w:type="character">
    <w:name w:val="heading 1"/>
    <w:basedOn w:val="Style_2_ch"/>
    <w:link w:val="Style_17"/>
    <w:rPr>
      <w:b w:val="1"/>
      <w:sz w:val="32"/>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widowControl w:val="1"/>
      <w:ind w:firstLine="851"/>
      <w:jc w:val="both"/>
    </w:pPr>
    <w:rPr>
      <w:sz w:val="22"/>
    </w:rPr>
  </w:style>
  <w:style w:styleId="Style_19_ch" w:type="character">
    <w:name w:val="Footnote"/>
    <w:link w:val="Style_19"/>
    <w:rPr>
      <w:sz w:val="22"/>
    </w:rPr>
  </w:style>
  <w:style w:styleId="Style_20" w:type="paragraph">
    <w:name w:val="toc 1"/>
    <w:basedOn w:val="Style_2"/>
    <w:next w:val="Style_2"/>
    <w:link w:val="Style_20_ch"/>
    <w:uiPriority w:val="39"/>
    <w:rPr>
      <w:b w:val="1"/>
    </w:rPr>
  </w:style>
  <w:style w:styleId="Style_20_ch" w:type="character">
    <w:name w:val="toc 1"/>
    <w:basedOn w:val="Style_2_ch"/>
    <w:link w:val="Style_20"/>
    <w:rPr>
      <w:b w:val="1"/>
    </w:rPr>
  </w:style>
  <w:style w:styleId="Style_21" w:type="paragraph">
    <w:name w:val="Header and Footer"/>
    <w:link w:val="Style_21_ch"/>
    <w:pPr>
      <w:widowControl w:val="1"/>
      <w:ind/>
      <w:jc w:val="both"/>
    </w:pPr>
    <w:rPr>
      <w:sz w:val="20"/>
    </w:rPr>
  </w:style>
  <w:style w:styleId="Style_21_ch" w:type="character">
    <w:name w:val="Header and Footer"/>
    <w:link w:val="Style_21"/>
    <w:rPr>
      <w:sz w:val="20"/>
    </w:rPr>
  </w:style>
  <w:style w:styleId="Style_22" w:type="paragraph">
    <w:name w:val="toc 9"/>
    <w:basedOn w:val="Style_2"/>
    <w:next w:val="Style_2"/>
    <w:link w:val="Style_22_ch"/>
    <w:uiPriority w:val="39"/>
    <w:pPr>
      <w:widowControl w:val="1"/>
      <w:ind w:left="1600"/>
    </w:pPr>
  </w:style>
  <w:style w:styleId="Style_22_ch" w:type="character">
    <w:name w:val="toc 9"/>
    <w:basedOn w:val="Style_2_ch"/>
    <w:link w:val="Style_22"/>
  </w:style>
  <w:style w:styleId="Style_23" w:type="paragraph">
    <w:name w:val="toc 8"/>
    <w:basedOn w:val="Style_2"/>
    <w:next w:val="Style_2"/>
    <w:link w:val="Style_23_ch"/>
    <w:uiPriority w:val="39"/>
    <w:pPr>
      <w:widowControl w:val="1"/>
      <w:ind w:left="1400"/>
    </w:pPr>
  </w:style>
  <w:style w:styleId="Style_23_ch" w:type="character">
    <w:name w:val="toc 8"/>
    <w:basedOn w:val="Style_2_ch"/>
    <w:link w:val="Style_23"/>
  </w:style>
  <w:style w:styleId="Style_24" w:type="paragraph">
    <w:name w:val="Гиперссылка2"/>
    <w:link w:val="Style_24_ch"/>
    <w:rPr>
      <w:color w:val="0000FF"/>
      <w:u w:val="single"/>
    </w:rPr>
  </w:style>
  <w:style w:styleId="Style_24_ch" w:type="character">
    <w:name w:val="Гиперссылка2"/>
    <w:link w:val="Style_24"/>
    <w:rPr>
      <w:color w:val="0000FF"/>
      <w:u w:val="single"/>
    </w:rPr>
  </w:style>
  <w:style w:styleId="Style_25" w:type="paragraph">
    <w:name w:val="toc 5"/>
    <w:basedOn w:val="Style_2"/>
    <w:next w:val="Style_2"/>
    <w:link w:val="Style_25_ch"/>
    <w:uiPriority w:val="39"/>
    <w:pPr>
      <w:widowControl w:val="1"/>
      <w:ind w:left="800"/>
    </w:pPr>
  </w:style>
  <w:style w:styleId="Style_25_ch" w:type="character">
    <w:name w:val="toc 5"/>
    <w:basedOn w:val="Style_2_ch"/>
    <w:link w:val="Style_25"/>
  </w:style>
  <w:style w:styleId="Style_26" w:type="paragraph">
    <w:name w:val="Subtitle"/>
    <w:basedOn w:val="Style_2"/>
    <w:next w:val="Style_2"/>
    <w:link w:val="Style_26_ch"/>
    <w:uiPriority w:val="11"/>
    <w:qFormat/>
    <w:rPr>
      <w:i w:val="1"/>
    </w:rPr>
  </w:style>
  <w:style w:styleId="Style_26_ch" w:type="character">
    <w:name w:val="Subtitle"/>
    <w:basedOn w:val="Style_2_ch"/>
    <w:link w:val="Style_26"/>
    <w:rPr>
      <w:i w:val="1"/>
    </w:rPr>
  </w:style>
  <w:style w:styleId="Style_27" w:type="paragraph">
    <w:name w:val="Default Paragraph Font"/>
    <w:link w:val="Style_27_ch"/>
  </w:style>
  <w:style w:styleId="Style_27_ch" w:type="character">
    <w:name w:val="Default Paragraph Font"/>
    <w:link w:val="Style_27"/>
  </w:style>
  <w:style w:styleId="Style_28" w:type="paragraph">
    <w:name w:val="Title"/>
    <w:basedOn w:val="Style_2"/>
    <w:next w:val="Style_2"/>
    <w:link w:val="Style_28_ch"/>
    <w:uiPriority w:val="10"/>
    <w:qFormat/>
    <w:pPr>
      <w:widowControl w:val="1"/>
      <w:spacing w:after="567" w:before="567"/>
      <w:ind/>
      <w:jc w:val="center"/>
    </w:pPr>
    <w:rPr>
      <w:b w:val="1"/>
      <w:caps w:val="1"/>
      <w:sz w:val="40"/>
    </w:rPr>
  </w:style>
  <w:style w:styleId="Style_28_ch" w:type="character">
    <w:name w:val="Title"/>
    <w:basedOn w:val="Style_2_ch"/>
    <w:link w:val="Style_28"/>
    <w:rPr>
      <w:b w:val="1"/>
      <w:caps w:val="1"/>
      <w:sz w:val="40"/>
    </w:rPr>
  </w:style>
  <w:style w:styleId="Style_29" w:type="paragraph">
    <w:name w:val="heading 4"/>
    <w:basedOn w:val="Style_2"/>
    <w:next w:val="Style_2"/>
    <w:link w:val="Style_29_ch"/>
    <w:uiPriority w:val="9"/>
    <w:qFormat/>
    <w:pPr>
      <w:widowControl w:val="1"/>
      <w:spacing w:after="120" w:before="120"/>
      <w:ind/>
      <w:outlineLvl w:val="3"/>
    </w:pPr>
    <w:rPr>
      <w:b w:val="1"/>
    </w:rPr>
  </w:style>
  <w:style w:styleId="Style_29_ch" w:type="character">
    <w:name w:val="heading 4"/>
    <w:basedOn w:val="Style_2_ch"/>
    <w:link w:val="Style_29"/>
    <w:rPr>
      <w:b w:val="1"/>
    </w:rPr>
  </w:style>
  <w:style w:styleId="Style_30" w:type="paragraph">
    <w:name w:val="heading 2"/>
    <w:basedOn w:val="Style_2"/>
    <w:next w:val="Style_2"/>
    <w:link w:val="Style_30_ch"/>
    <w:uiPriority w:val="9"/>
    <w:qFormat/>
    <w:pPr>
      <w:widowControl w:val="1"/>
      <w:spacing w:after="120" w:before="120"/>
      <w:ind/>
      <w:outlineLvl w:val="1"/>
    </w:pPr>
    <w:rPr>
      <w:b w:val="1"/>
    </w:rPr>
  </w:style>
  <w:style w:styleId="Style_30_ch" w:type="character">
    <w:name w:val="heading 2"/>
    <w:basedOn w:val="Style_2_ch"/>
    <w:link w:val="Style_30"/>
    <w:rPr>
      <w:b w:val="1"/>
    </w:rPr>
  </w:style>
  <w:style w:styleId="Style_31" w:type="paragraph">
    <w:name w:val="Обычный1"/>
    <w:link w:val="Style_31_ch"/>
    <w:rPr>
      <w:sz w:val="28"/>
    </w:rPr>
  </w:style>
  <w:style w:styleId="Style_31_ch" w:type="character">
    <w:name w:val="Обычный1"/>
    <w:link w:val="Style_31"/>
    <w:rPr>
      <w:sz w:val="28"/>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jpeg"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MyOffice-CoreFramework-Windows/37-1367.1091.10011.1001.1@92c86c4fc59398dd64f1786b019b76a317813c64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2025-04-22T08:07:00Z</dcterms:created>
  <dcterms:modified xsi:type="dcterms:W3CDTF">2025-10-01T07:13:57Z</dcterms:modified>
</cp:coreProperties>
</file>