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B7" w:rsidRDefault="002326B7" w:rsidP="0023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</w:t>
      </w:r>
    </w:p>
    <w:p w:rsidR="002326B7" w:rsidRDefault="002326B7" w:rsidP="00232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2326B7" w:rsidRDefault="002326B7" w:rsidP="00232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Кашинского муниципального округа</w:t>
      </w:r>
    </w:p>
    <w:p w:rsidR="002326B7" w:rsidRDefault="002326B7" w:rsidP="0023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Тверской области</w:t>
      </w:r>
    </w:p>
    <w:p w:rsidR="002326B7" w:rsidRDefault="002326B7" w:rsidP="00232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6F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F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21.08.2025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№ </w:t>
      </w:r>
      <w:r w:rsidR="006F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557</w:t>
      </w:r>
      <w:bookmarkStart w:id="0" w:name="_GoBack"/>
      <w:bookmarkEnd w:id="0"/>
    </w:p>
    <w:p w:rsidR="002326B7" w:rsidRDefault="002326B7" w:rsidP="002326B7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2326B7" w:rsidRDefault="002326B7" w:rsidP="002326B7">
      <w:pPr>
        <w:pStyle w:val="a3"/>
        <w:ind w:left="9639"/>
        <w:jc w:val="center"/>
        <w:rPr>
          <w:rFonts w:ascii="Times New Roman" w:hAnsi="Times New Roman" w:cs="Times New Roman"/>
          <w:sz w:val="20"/>
          <w:szCs w:val="20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6B7" w:rsidRDefault="002326B7" w:rsidP="002326B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План</w:t>
      </w: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деятельности по участию в реализации на территории Кашинского муниципального округа Тверской области </w:t>
      </w:r>
      <w:r>
        <w:rPr>
          <w:rFonts w:ascii="Times New Roman" w:hAnsi="Times New Roman" w:cs="Times New Roman"/>
          <w:sz w:val="40"/>
          <w:szCs w:val="40"/>
        </w:rPr>
        <w:t xml:space="preserve">Комплексного плана </w:t>
      </w:r>
      <w:r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 xml:space="preserve">противодействия идеологии терроризма </w:t>
      </w:r>
      <w:proofErr w:type="gramStart"/>
      <w:r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в  Российской</w:t>
      </w:r>
      <w:proofErr w:type="gramEnd"/>
      <w:r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 xml:space="preserve"> Федерации на 2024 - 2028 годы</w:t>
      </w: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6B7" w:rsidRDefault="002326B7" w:rsidP="002326B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г. Кашин</w:t>
      </w:r>
    </w:p>
    <w:p w:rsidR="002326B7" w:rsidRDefault="002326B7" w:rsidP="002326B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2025г.</w:t>
      </w:r>
    </w:p>
    <w:p w:rsidR="002326B7" w:rsidRDefault="002326B7" w:rsidP="002326B7">
      <w:pPr>
        <w:pStyle w:val="a3"/>
        <w:ind w:left="1080"/>
        <w:jc w:val="center"/>
        <w:rPr>
          <w:rStyle w:val="30pt"/>
          <w:rFonts w:eastAsiaTheme="minorHAnsi"/>
          <w:sz w:val="28"/>
          <w:szCs w:val="28"/>
        </w:rPr>
      </w:pPr>
      <w:r>
        <w:rPr>
          <w:rStyle w:val="30pt"/>
          <w:rFonts w:eastAsiaTheme="minorHAnsi"/>
          <w:b/>
          <w:sz w:val="28"/>
          <w:szCs w:val="28"/>
          <w:lang w:val="en-US"/>
        </w:rPr>
        <w:lastRenderedPageBreak/>
        <w:t>I</w:t>
      </w:r>
      <w:r>
        <w:rPr>
          <w:rStyle w:val="30pt"/>
          <w:rFonts w:eastAsiaTheme="minorHAnsi"/>
          <w:b/>
          <w:sz w:val="28"/>
          <w:szCs w:val="28"/>
        </w:rPr>
        <w:t>.Общие положения</w:t>
      </w:r>
    </w:p>
    <w:p w:rsidR="002326B7" w:rsidRDefault="002326B7" w:rsidP="002326B7">
      <w:pPr>
        <w:pStyle w:val="a3"/>
        <w:ind w:left="1080"/>
        <w:jc w:val="center"/>
      </w:pPr>
    </w:p>
    <w:p w:rsidR="002326B7" w:rsidRDefault="002326B7" w:rsidP="00232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0pt"/>
          <w:rFonts w:eastAsiaTheme="minorHAnsi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Реализация Комплексного плана противодействия идеологии терроризма в Российской Федерации на 2024 – 2028 годы направлена на формирование у населения на основе традиционных российских духовно-нравственных ценностей неприятия идеологии терроризма и устойчивости к ее пропаганде.</w:t>
      </w:r>
    </w:p>
    <w:p w:rsidR="002326B7" w:rsidRDefault="002326B7" w:rsidP="00232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Задачами противодействия идеологии терроризма являются:</w:t>
      </w:r>
    </w:p>
    <w:p w:rsidR="002326B7" w:rsidRDefault="002326B7" w:rsidP="00232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задействование потенциала системы образования, молодежной политики и культуры, а также</w:t>
      </w:r>
      <w:r>
        <w:rPr>
          <w:rFonts w:ascii="Times New Roman" w:hAnsi="Times New Roman" w:cs="Times New Roman"/>
          <w:sz w:val="28"/>
          <w:szCs w:val="28"/>
        </w:rPr>
        <w:tab/>
        <w:t>общественно-политических,</w:t>
      </w:r>
    </w:p>
    <w:p w:rsidR="002326B7" w:rsidRDefault="002326B7" w:rsidP="00232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(общая профилактика);</w:t>
      </w:r>
    </w:p>
    <w:p w:rsidR="002326B7" w:rsidRDefault="002326B7" w:rsidP="00232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придание системности работе по привитию (разъяснению)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(адресная профилактика);</w:t>
      </w:r>
    </w:p>
    <w:p w:rsidR="002326B7" w:rsidRDefault="002326B7" w:rsidP="00232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профилактика);</w:t>
      </w:r>
    </w:p>
    <w:p w:rsidR="002326B7" w:rsidRDefault="002326B7" w:rsidP="002326B7">
      <w:pPr>
        <w:pStyle w:val="a3"/>
        <w:jc w:val="both"/>
        <w:rPr>
          <w:rStyle w:val="30pt"/>
          <w:rFonts w:eastAsiaTheme="minorHAnsi"/>
          <w:sz w:val="28"/>
          <w:szCs w:val="28"/>
        </w:rPr>
      </w:pPr>
      <w:r>
        <w:rPr>
          <w:rStyle w:val="30pt"/>
          <w:rFonts w:eastAsiaTheme="minorHAnsi"/>
          <w:sz w:val="28"/>
          <w:szCs w:val="28"/>
        </w:rPr>
        <w:t>-</w:t>
      </w:r>
      <w:r>
        <w:rPr>
          <w:rStyle w:val="30pt"/>
          <w:rFonts w:eastAsiaTheme="minorHAnsi"/>
          <w:sz w:val="28"/>
          <w:szCs w:val="28"/>
        </w:rPr>
        <w:tab/>
        <w:t xml:space="preserve">обеспечение наполнения информационного пространства актуальной информацией, </w:t>
      </w:r>
      <w:proofErr w:type="spellStart"/>
      <w:r>
        <w:rPr>
          <w:rStyle w:val="30pt"/>
          <w:rFonts w:eastAsiaTheme="minorHAnsi"/>
          <w:sz w:val="28"/>
          <w:szCs w:val="28"/>
        </w:rPr>
        <w:t>контрпропагандистскими</w:t>
      </w:r>
      <w:proofErr w:type="spellEnd"/>
      <w:r>
        <w:rPr>
          <w:rStyle w:val="30pt"/>
          <w:rFonts w:eastAsiaTheme="minorHAnsi"/>
          <w:sz w:val="28"/>
          <w:szCs w:val="28"/>
        </w:rPr>
        <w:t xml:space="preserve"> и иными (текстовыми, графическими, аудио и видео) материалами, формирующими</w:t>
      </w:r>
      <w:r>
        <w:rPr>
          <w:rStyle w:val="30pt"/>
          <w:rFonts w:eastAsiaTheme="minorHAnsi"/>
          <w:sz w:val="28"/>
          <w:szCs w:val="28"/>
        </w:rPr>
        <w:tab/>
        <w:t>неприятие</w:t>
      </w:r>
      <w:r>
        <w:rPr>
          <w:rStyle w:val="30pt"/>
          <w:rFonts w:eastAsiaTheme="minorHAnsi"/>
          <w:sz w:val="28"/>
          <w:szCs w:val="28"/>
        </w:rPr>
        <w:tab/>
        <w:t>идеологии</w:t>
      </w:r>
      <w:r>
        <w:rPr>
          <w:rStyle w:val="30pt"/>
          <w:rFonts w:eastAsiaTheme="minorHAnsi"/>
          <w:sz w:val="28"/>
          <w:szCs w:val="28"/>
        </w:rPr>
        <w:tab/>
        <w:t>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характера.</w:t>
      </w:r>
    </w:p>
    <w:p w:rsidR="002326B7" w:rsidRDefault="002326B7" w:rsidP="002326B7">
      <w:pPr>
        <w:pStyle w:val="a3"/>
        <w:jc w:val="both"/>
        <w:rPr>
          <w:rStyle w:val="30pt"/>
          <w:rFonts w:eastAsiaTheme="minorHAnsi"/>
          <w:sz w:val="28"/>
          <w:szCs w:val="28"/>
        </w:rPr>
      </w:pPr>
      <w:r>
        <w:rPr>
          <w:rStyle w:val="30pt"/>
          <w:rFonts w:eastAsiaTheme="minorHAnsi"/>
          <w:sz w:val="28"/>
          <w:szCs w:val="28"/>
        </w:rPr>
        <w:t xml:space="preserve">          Профилактическая работа нацелена в первую очередь на такие категории лиц, как:</w:t>
      </w:r>
    </w:p>
    <w:p w:rsidR="002326B7" w:rsidRDefault="002326B7" w:rsidP="002326B7">
      <w:pPr>
        <w:pStyle w:val="a3"/>
        <w:jc w:val="both"/>
        <w:rPr>
          <w:rStyle w:val="30pt"/>
          <w:rFonts w:eastAsiaTheme="minorHAnsi"/>
          <w:sz w:val="28"/>
          <w:szCs w:val="28"/>
        </w:rPr>
      </w:pPr>
      <w:r>
        <w:rPr>
          <w:rStyle w:val="30pt"/>
          <w:rFonts w:eastAsiaTheme="minorHAnsi"/>
          <w:sz w:val="28"/>
          <w:szCs w:val="28"/>
        </w:rPr>
        <w:t>-</w:t>
      </w:r>
      <w:r>
        <w:rPr>
          <w:rStyle w:val="30pt"/>
          <w:rFonts w:eastAsiaTheme="minorHAnsi"/>
          <w:sz w:val="28"/>
          <w:szCs w:val="28"/>
        </w:rPr>
        <w:tab/>
        <w:t>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2326B7" w:rsidRDefault="002326B7" w:rsidP="002326B7">
      <w:pPr>
        <w:pStyle w:val="a3"/>
        <w:jc w:val="both"/>
        <w:rPr>
          <w:rStyle w:val="30pt"/>
          <w:rFonts w:eastAsiaTheme="minorHAnsi"/>
          <w:sz w:val="28"/>
          <w:szCs w:val="28"/>
        </w:rPr>
      </w:pPr>
      <w:r>
        <w:rPr>
          <w:rStyle w:val="30pt"/>
          <w:rFonts w:eastAsiaTheme="minorHAnsi"/>
          <w:sz w:val="28"/>
          <w:szCs w:val="28"/>
        </w:rPr>
        <w:t>-</w:t>
      </w:r>
      <w:r>
        <w:rPr>
          <w:rStyle w:val="30pt"/>
          <w:rFonts w:eastAsiaTheme="minorHAnsi"/>
          <w:sz w:val="28"/>
          <w:szCs w:val="28"/>
        </w:rPr>
        <w:tab/>
        <w:t>мигранты, прибывшие в Российскую Федерацию для осуществления трудовой деятельности или обучения, члены их семей;</w:t>
      </w:r>
    </w:p>
    <w:p w:rsidR="002326B7" w:rsidRDefault="002326B7" w:rsidP="002326B7">
      <w:pPr>
        <w:pStyle w:val="a3"/>
        <w:jc w:val="both"/>
        <w:rPr>
          <w:rStyle w:val="30pt"/>
          <w:rFonts w:eastAsiaTheme="minorHAnsi"/>
          <w:sz w:val="28"/>
          <w:szCs w:val="28"/>
        </w:rPr>
      </w:pPr>
      <w:r>
        <w:rPr>
          <w:rStyle w:val="30pt"/>
          <w:rFonts w:eastAsiaTheme="minorHAnsi"/>
          <w:sz w:val="28"/>
          <w:szCs w:val="28"/>
        </w:rPr>
        <w:t>- лица, отбывшие наказание в учреждениях уголовно-исполнительной системы, прежде всего за осуществление террористической деятельности;</w:t>
      </w:r>
    </w:p>
    <w:p w:rsidR="002326B7" w:rsidRDefault="002326B7" w:rsidP="002326B7">
      <w:pPr>
        <w:pStyle w:val="a3"/>
        <w:jc w:val="both"/>
        <w:rPr>
          <w:rStyle w:val="30pt"/>
          <w:rFonts w:eastAsiaTheme="minorHAnsi"/>
          <w:sz w:val="28"/>
          <w:szCs w:val="28"/>
        </w:rPr>
      </w:pPr>
      <w:r>
        <w:rPr>
          <w:rStyle w:val="30pt"/>
          <w:rFonts w:eastAsiaTheme="minorHAnsi"/>
          <w:sz w:val="28"/>
          <w:szCs w:val="28"/>
        </w:rPr>
        <w:t>-</w:t>
      </w:r>
      <w:r>
        <w:rPr>
          <w:rStyle w:val="30pt"/>
          <w:rFonts w:eastAsiaTheme="minorHAnsi"/>
          <w:sz w:val="28"/>
          <w:szCs w:val="28"/>
        </w:rPr>
        <w:tab/>
        <w:t>члены семей лиц, причастных к террористической деятельности (действующих, осужденных, нейтрализованных);</w:t>
      </w:r>
    </w:p>
    <w:p w:rsidR="002326B7" w:rsidRDefault="002326B7" w:rsidP="002326B7">
      <w:pPr>
        <w:pStyle w:val="a3"/>
        <w:jc w:val="both"/>
        <w:rPr>
          <w:rStyle w:val="30pt"/>
          <w:rFonts w:eastAsiaTheme="minorHAnsi"/>
          <w:sz w:val="28"/>
          <w:szCs w:val="28"/>
        </w:rPr>
      </w:pPr>
      <w:r>
        <w:rPr>
          <w:rStyle w:val="30pt"/>
          <w:rFonts w:eastAsiaTheme="minorHAnsi"/>
          <w:sz w:val="28"/>
          <w:szCs w:val="28"/>
        </w:rPr>
        <w:lastRenderedPageBreak/>
        <w:t>-</w:t>
      </w:r>
      <w:r>
        <w:rPr>
          <w:rStyle w:val="30pt"/>
          <w:rFonts w:eastAsiaTheme="minorHAnsi"/>
          <w:sz w:val="28"/>
          <w:szCs w:val="28"/>
        </w:rPr>
        <w:tab/>
        <w:t>несовершеннолетние, возвращенные (прибывшие) из зон вооруженных конфликтов.</w:t>
      </w:r>
    </w:p>
    <w:p w:rsidR="002326B7" w:rsidRDefault="002326B7" w:rsidP="002326B7">
      <w:pPr>
        <w:pStyle w:val="a3"/>
        <w:jc w:val="center"/>
        <w:rPr>
          <w:rStyle w:val="30pt"/>
          <w:rFonts w:eastAsiaTheme="minorHAnsi"/>
          <w:b/>
          <w:sz w:val="28"/>
          <w:szCs w:val="28"/>
        </w:rPr>
      </w:pPr>
    </w:p>
    <w:p w:rsidR="002326B7" w:rsidRDefault="002326B7" w:rsidP="002326B7">
      <w:pPr>
        <w:pStyle w:val="a3"/>
        <w:jc w:val="center"/>
        <w:rPr>
          <w:rStyle w:val="30pt"/>
          <w:rFonts w:eastAsiaTheme="minorHAnsi"/>
          <w:b/>
          <w:sz w:val="28"/>
          <w:szCs w:val="28"/>
        </w:rPr>
      </w:pPr>
    </w:p>
    <w:p w:rsidR="002326B7" w:rsidRDefault="002326B7" w:rsidP="002326B7">
      <w:pPr>
        <w:pStyle w:val="a3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rStyle w:val="30pt"/>
          <w:rFonts w:eastAsiaTheme="minorHAnsi"/>
          <w:b/>
          <w:sz w:val="28"/>
          <w:szCs w:val="28"/>
        </w:rPr>
        <w:t>II. Основная часть</w:t>
      </w:r>
    </w:p>
    <w:p w:rsidR="002326B7" w:rsidRDefault="002326B7" w:rsidP="002326B7">
      <w:pPr>
        <w:pStyle w:val="a3"/>
        <w:jc w:val="center"/>
        <w:rPr>
          <w:rStyle w:val="30pt"/>
          <w:rFonts w:eastAsiaTheme="minorHAnsi"/>
          <w:b/>
          <w:sz w:val="28"/>
          <w:szCs w:val="28"/>
        </w:rPr>
      </w:pP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1"/>
        <w:gridCol w:w="6915"/>
        <w:gridCol w:w="1701"/>
        <w:gridCol w:w="13"/>
        <w:gridCol w:w="129"/>
        <w:gridCol w:w="4252"/>
        <w:gridCol w:w="1843"/>
      </w:tblGrid>
      <w:tr w:rsidR="002326B7" w:rsidTr="002326B7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8"/>
                <w:szCs w:val="28"/>
              </w:rPr>
            </w:pPr>
            <w:r>
              <w:rPr>
                <w:rStyle w:val="30pt"/>
                <w:rFonts w:eastAsiaTheme="minorHAnsi"/>
                <w:b/>
                <w:sz w:val="28"/>
                <w:szCs w:val="28"/>
              </w:rPr>
              <w:t>№ п/п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8"/>
                <w:szCs w:val="28"/>
              </w:rPr>
            </w:pPr>
            <w:r>
              <w:rPr>
                <w:rStyle w:val="30pt"/>
                <w:rFonts w:eastAsiaTheme="minorHAnsi"/>
                <w:b/>
                <w:sz w:val="28"/>
                <w:szCs w:val="28"/>
              </w:rPr>
              <w:t>Перечень вопросов (мероприятия)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8"/>
                <w:szCs w:val="28"/>
              </w:rPr>
            </w:pPr>
            <w:r>
              <w:rPr>
                <w:rStyle w:val="30pt"/>
                <w:rFonts w:eastAsia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8"/>
                <w:szCs w:val="28"/>
              </w:rPr>
            </w:pPr>
            <w:r>
              <w:rPr>
                <w:rStyle w:val="30pt"/>
                <w:rFonts w:eastAsiaTheme="minorHAnsi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8"/>
                <w:szCs w:val="28"/>
              </w:rPr>
            </w:pPr>
            <w:r>
              <w:rPr>
                <w:rStyle w:val="30pt"/>
                <w:rFonts w:eastAsiaTheme="minorHAnsi"/>
                <w:b/>
                <w:sz w:val="28"/>
                <w:szCs w:val="28"/>
              </w:rPr>
              <w:t>Примечание</w:t>
            </w:r>
          </w:p>
        </w:tc>
      </w:tr>
      <w:tr w:rsidR="002326B7" w:rsidTr="002326B7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 w:rsidP="003122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общей профилактики</w:t>
            </w:r>
          </w:p>
        </w:tc>
      </w:tr>
      <w:tr w:rsidR="002326B7" w:rsidTr="002326B7">
        <w:trPr>
          <w:trHeight w:val="351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suppressAutoHyphens/>
              <w:spacing w:after="0" w:line="240" w:lineRule="auto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формирования у населения антитеррористического мировоззрения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326B7" w:rsidTr="002326B7">
        <w:trPr>
          <w:trHeight w:val="255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1.1.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</w:t>
            </w:r>
          </w:p>
          <w:p w:rsidR="002326B7" w:rsidRDefault="00232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Организовывать привлечение к указанным мероприятиям военнослужащих,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сотрудников правоохранительных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       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Администрация Кашинского муниципального округа Тверской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5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создания условий по привитию молодежи неприятия идеологии терроризма</w:t>
            </w:r>
          </w:p>
        </w:tc>
      </w:tr>
      <w:tr w:rsidR="002326B7" w:rsidTr="002326B7">
        <w:trPr>
          <w:trHeight w:val="42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1.2.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конфессий, а также задействовать в этой работе возможности общественных и социально ориентированных некоммерческих организаций, детских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 молодежных движений (обществ, проектов).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42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1.3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работы на наиболее посещаемых молодежью площадках, в том числе в создаваемых молодежных пространствах, спортивных клубах и секциях. Местах культуры и отдыха.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594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формирования у обучающейся молодежи антитеррористического мировоззрения и устойчивости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 пропагандистскому воздействию террористических организаций и популяризирующих массовые убийства движений</w:t>
            </w:r>
          </w:p>
        </w:tc>
      </w:tr>
      <w:tr w:rsidR="002326B7" w:rsidTr="002326B7">
        <w:trPr>
          <w:trHeight w:val="594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1.4.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организаций юридического профиля. Разъяснение жителям Кашинского муниципального округа Тверской области (в том числе обучающейся молодежи)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 наглядных примерах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используемых украинскими вербовщиками методов вовлечения в террористическую деятельность, а также степени ответственности и неотвратимости наказания за участие в ней.</w:t>
            </w:r>
          </w:p>
          <w:p w:rsidR="002326B7" w:rsidRDefault="00232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      </w:r>
          </w:p>
          <w:p w:rsidR="002326B7" w:rsidRDefault="00232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В ходе проведения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</w:t>
            </w:r>
          </w:p>
          <w:p w:rsidR="002326B7" w:rsidRDefault="00232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 Администрации Кашинского муниципального округа Тверской области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spacing w:after="0" w:line="240" w:lineRule="auto"/>
            </w:pPr>
          </w:p>
          <w:p w:rsidR="002326B7" w:rsidRDefault="002326B7">
            <w:pPr>
              <w:spacing w:after="0" w:line="240" w:lineRule="auto"/>
            </w:pPr>
          </w:p>
          <w:p w:rsidR="002326B7" w:rsidRDefault="00232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              </w:t>
            </w:r>
            <w:r>
              <w:rPr>
                <w:rFonts w:ascii="Times New Roman" w:hAnsi="Times New Roman" w:cs="Times New Roman"/>
              </w:rPr>
              <w:t>МО МВД России «Кашинский»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594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1.5.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Задействовать возможности региональных координационных центров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общепрофилактической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адресной профилактики с учащейся молодежью.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33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противодействия пропагандистскому воздействию на население</w:t>
            </w:r>
          </w:p>
        </w:tc>
      </w:tr>
      <w:tr w:rsidR="002326B7" w:rsidTr="002326B7">
        <w:trPr>
          <w:trHeight w:val="225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1.6.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  <w:r>
              <w:rPr>
                <w:rStyle w:val="30pt"/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библиотечной системы Кашинского муниципального округа Тверской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312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устранения причин и условий, способствующих вовлечению населения в террористическую деятельность</w:t>
            </w:r>
          </w:p>
        </w:tc>
      </w:tr>
      <w:tr w:rsidR="002326B7" w:rsidTr="002326B7">
        <w:trPr>
          <w:trHeight w:val="312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      </w:r>
          </w:p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312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1.8.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Использовать возможности федеральных и региональных общественных, просветительских. Военно- патриотических, волонтерских и антитеррористических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98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своевременного устранения негативных факторов, способствующих распространению среди обучающихся идеологии насилия</w:t>
            </w:r>
          </w:p>
        </w:tc>
      </w:tr>
      <w:tr w:rsidR="002326B7" w:rsidTr="002326B7">
        <w:trPr>
          <w:trHeight w:val="1603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1.9.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 регулярной основе проведение мониторингов (психологического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  <w:r>
              <w:rPr>
                <w:rStyle w:val="30pt"/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 w:rsidP="003122F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адресной профилактики</w:t>
            </w:r>
          </w:p>
        </w:tc>
      </w:tr>
      <w:tr w:rsidR="002326B7" w:rsidTr="002326B7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В рамках оказания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некомерческих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религиозных организаций информационно- просветительских мероприятий для:</w:t>
            </w:r>
          </w:p>
        </w:tc>
      </w:tr>
      <w:tr w:rsidR="002326B7" w:rsidTr="00232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Доведения информации об ответственности за совершение преступлений террористической направленности;</w:t>
            </w:r>
          </w:p>
          <w:p w:rsidR="002326B7" w:rsidRDefault="00232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продвижение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      </w:r>
          </w:p>
          <w:p w:rsidR="002326B7" w:rsidRDefault="00232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радикальных организаций.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ФГУ СМЗО-2 УФСИН России по Тверской области, Кашинский МФ ФКУ УИИ УФСИН России по Тверской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B7" w:rsidTr="002326B7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В целях недопущения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иностранных граждан, прибывших в Российскую Федерацию для осуществления трудовой деятельности</w:t>
            </w:r>
          </w:p>
        </w:tc>
      </w:tr>
      <w:tr w:rsidR="002326B7" w:rsidTr="002326B7">
        <w:trPr>
          <w:trHeight w:val="45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2.1.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Fonts w:eastAsia="Arial Unicode M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      </w:r>
          </w:p>
          <w:p w:rsidR="002326B7" w:rsidRDefault="002326B7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      </w:r>
          </w:p>
          <w:p w:rsidR="002326B7" w:rsidRDefault="00232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      </w:r>
          </w:p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lastRenderedPageBreak/>
              <w:t xml:space="preserve">Срок: 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«Кашинский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секретарь КДН и ЗП Администрации Кашинского муниципального округа Тверской области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642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</w:t>
            </w:r>
          </w:p>
        </w:tc>
      </w:tr>
      <w:tr w:rsidR="002326B7" w:rsidTr="002326B7">
        <w:trPr>
          <w:trHeight w:val="17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2.2.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Обеспечивать адаптацию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детей трудовых мигрантов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      </w:r>
          </w:p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</w:t>
            </w:r>
          </w:p>
        </w:tc>
      </w:tr>
      <w:tr w:rsidR="002326B7" w:rsidTr="002326B7">
        <w:trPr>
          <w:trHeight w:val="272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2.3.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В ходе воспитательной и просветительской работы в общеобразовательных организациях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329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рамках социализации и интеграции в российское общество жителей из новых субъектов Российской Федерации</w:t>
            </w:r>
          </w:p>
        </w:tc>
      </w:tr>
      <w:tr w:rsidR="002326B7" w:rsidTr="002326B7">
        <w:trPr>
          <w:trHeight w:val="981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беспечивать на регулярной основе привлечение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жителей из новых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 волонтерской и иной социально полезной деятельности, способствующей привитию им традиционных российских духовно-нравственных ценностей.</w:t>
            </w:r>
          </w:p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456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формирования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      </w:r>
          </w:p>
        </w:tc>
      </w:tr>
      <w:tr w:rsidR="002326B7" w:rsidTr="002326B7">
        <w:trPr>
          <w:trHeight w:val="45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2.5.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террористических и иных радикальных организаций и ответственность за участие в их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(при наличии субъектов профилактики)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31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формирования антитеррористического мировоззрения у молодежи, состоящей на различных формах учета</w:t>
            </w:r>
          </w:p>
        </w:tc>
      </w:tr>
      <w:tr w:rsidR="002326B7" w:rsidTr="002326B7">
        <w:trPr>
          <w:trHeight w:val="45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2.6.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прививать традиционные российские духовно-нравственные ценности.</w:t>
            </w:r>
          </w:p>
          <w:p w:rsidR="002326B7" w:rsidRDefault="00232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 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lastRenderedPageBreak/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312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 w:rsidP="003122F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индивидуальной профилактики</w:t>
            </w:r>
          </w:p>
        </w:tc>
      </w:tr>
      <w:tr w:rsidR="002326B7" w:rsidTr="002326B7">
        <w:trPr>
          <w:trHeight w:val="312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</w:t>
            </w:r>
          </w:p>
        </w:tc>
      </w:tr>
      <w:tr w:rsidR="002326B7" w:rsidTr="002326B7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3.1.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еализовывать меры социальной поддержки и информационно-разъяснительного характера, а также обеспечивать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ресоциализацию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реинтеграцию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 общество на основе привлечения к профессиональной, общественной, волонтерской и иной социально полезной деятельности;</w:t>
            </w:r>
          </w:p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 в рамках решения задачи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лиц, отбывающих наказание за совершение преступлений террористической направленности, в том числе не связанное с лишением свободы, реализовать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ФГУ СМЗО-2 УФСИН России по Тверской области, Кашинский МФ ФКУ УИИ УФСИН России по Тверской области,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Кашинского муниципального округа Тверской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В целях своевременного определения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радикализации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учащихся и их последующему вовлечению в террористическую деятельность</w:t>
            </w:r>
          </w:p>
        </w:tc>
      </w:tr>
      <w:tr w:rsidR="002326B7" w:rsidTr="002326B7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3.2.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Осуществлять на регулярной основе выявление признаков подверженности обучающихся деструктивным идеологиям, 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также склонности к насильственному (агрессивному) и суицидальному поведению.</w:t>
            </w:r>
          </w:p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Психолого-педагогическое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lastRenderedPageBreak/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Отдел образования Администрации Кашинского муниципального округа Тверской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34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В рамках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>профилактики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>правонарушений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 xml:space="preserve">среди 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несовершеннолетних</w:t>
            </w:r>
          </w:p>
        </w:tc>
      </w:tr>
      <w:tr w:rsidR="002326B7" w:rsidTr="002326B7">
        <w:trPr>
          <w:trHeight w:val="193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3.3.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Отдел образования Администрации Кашинского муниципального округа Тверской области</w:t>
            </w:r>
          </w:p>
          <w:p w:rsidR="002326B7" w:rsidRDefault="002326B7">
            <w:pPr>
              <w:pStyle w:val="a3"/>
              <w:jc w:val="center"/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78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предупреждения распространения идеологии терроризма в местах религиозного культа</w:t>
            </w:r>
          </w:p>
        </w:tc>
      </w:tr>
      <w:tr w:rsidR="002326B7" w:rsidTr="002326B7">
        <w:trPr>
          <w:trHeight w:val="27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3.4.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</w:t>
            </w:r>
            <w:r>
              <w:rPr>
                <w:rStyle w:val="30pt"/>
                <w:rFonts w:eastAsiaTheme="minorHAnsi"/>
                <w:sz w:val="24"/>
                <w:szCs w:val="24"/>
              </w:rPr>
              <w:t>деятельности, несообщение о преступлении, а также разъяснять содержание традиционных российских духовно-нравственных ценностей.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2326B7" w:rsidRDefault="002326B7">
            <w:pPr>
              <w:pStyle w:val="a3"/>
              <w:jc w:val="center"/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МВД России «Кашинский»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645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 w:rsidP="003122FC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Меры информационно-пропагандистского (разъяснительного) характера и защиты информационного</w:t>
            </w:r>
          </w:p>
          <w:p w:rsidR="002326B7" w:rsidRDefault="002326B7">
            <w:pPr>
              <w:pStyle w:val="a3"/>
              <w:ind w:left="1080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пространства Российской Федерации от идеологии терроризма</w:t>
            </w:r>
          </w:p>
        </w:tc>
      </w:tr>
      <w:tr w:rsidR="002326B7" w:rsidTr="002326B7">
        <w:trPr>
          <w:trHeight w:val="596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повышения эффективности информационно-пропагандистской деятельности в части привития населению стойкого неприятия идеологии терроризма</w:t>
            </w:r>
          </w:p>
        </w:tc>
      </w:tr>
      <w:tr w:rsidR="002326B7" w:rsidTr="002326B7">
        <w:trPr>
          <w:trHeight w:val="3203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  <w:lang w:val="en-US"/>
              </w:rPr>
              <w:t>4</w:t>
            </w:r>
            <w:r>
              <w:rPr>
                <w:rStyle w:val="30pt"/>
                <w:rFonts w:eastAsiaTheme="minorHAnsi"/>
                <w:b/>
                <w:sz w:val="24"/>
                <w:szCs w:val="24"/>
              </w:rPr>
              <w:t>.</w:t>
            </w:r>
            <w:r>
              <w:rPr>
                <w:rStyle w:val="30pt"/>
                <w:rFonts w:eastAsiaTheme="minorHAnsi"/>
                <w:b/>
                <w:sz w:val="24"/>
                <w:szCs w:val="24"/>
                <w:lang w:val="en-US"/>
              </w:rPr>
              <w:t>1</w:t>
            </w:r>
            <w:r>
              <w:rPr>
                <w:rStyle w:val="30pt"/>
                <w:rFonts w:eastAsiaTheme="minorHAnsi"/>
                <w:b/>
                <w:sz w:val="24"/>
                <w:szCs w:val="24"/>
              </w:rPr>
              <w:t>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национализму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и неонацизму, а также неприятие идей массовых убийств, разъяснение социальной значимости профилактической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органов власти и популяризацию лиц, отличившихся в борьбе с терроризмом.</w:t>
            </w:r>
          </w:p>
          <w:p w:rsidR="002326B7" w:rsidRDefault="002326B7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Кашинского муниципального округа Тверской области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«Кашинский»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169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4.2.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Содействовать функционированию Единой системы противодействия распространению недостоверной информации в информационно-телекоммуникационной сети «Интернет»,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использовать социальные сети, мессенджеры и иные средства электронной коммуникации.</w:t>
            </w:r>
          </w:p>
          <w:p w:rsidR="002326B7" w:rsidRDefault="00232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В целях снижения рисков вовлечения молодежи в террористическую деятельность организовывать в профессиональных образовательных организациях с привлечением обучающихся создание и распространения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мессенджирах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«Кашинский»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169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4.3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Привлекать Центры управления регионами, а также популярных представителей спортивной и творческой среды, имеющих значительную ориентированную на них аудиторию среди молодежи и мигрантов, к подготовке и распространению в интернет- пространстве антитеррористических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Кашинского муниципального округа Тверской области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) в реализации мероприятий по противодействию идеологии терроризма в рамках государственной 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грантовой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) поддержки проектов</w:t>
            </w: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  <w:lang w:val="en-US"/>
              </w:rPr>
              <w:t>4</w:t>
            </w:r>
            <w:r>
              <w:rPr>
                <w:rStyle w:val="30pt"/>
                <w:rFonts w:eastAsiaTheme="minorHAnsi"/>
                <w:b/>
                <w:sz w:val="24"/>
                <w:szCs w:val="24"/>
              </w:rPr>
              <w:t>.4.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Принимать участие в создании и распространении по наиболее популярным у населения, прежде всего молодежи, информационным каналам материалов ( выставок, буклетов, книжных изданий), нацеленных на формирование у населения антитеррористического мировоззрения.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9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создания дополнительных условий по формированию у населения антитеррористического мировоззрения</w:t>
            </w:r>
          </w:p>
        </w:tc>
      </w:tr>
      <w:tr w:rsidR="002326B7" w:rsidTr="002326B7">
        <w:trPr>
          <w:trHeight w:val="46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4.5.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Style w:val="30pt"/>
                <w:rFonts w:eastAsiaTheme="minorHAnsi"/>
                <w:sz w:val="24"/>
                <w:szCs w:val="24"/>
              </w:rPr>
              <w:t xml:space="preserve"> 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465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В целях привития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 xml:space="preserve"> населению новых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 xml:space="preserve">субъектов 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Российской Федерации традиционных российских духовно 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</w:t>
            </w:r>
          </w:p>
        </w:tc>
      </w:tr>
      <w:tr w:rsidR="002326B7" w:rsidTr="002326B7">
        <w:trPr>
          <w:trHeight w:val="46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4.6.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рекламы.</w:t>
            </w:r>
          </w:p>
          <w:p w:rsidR="002326B7" w:rsidRDefault="00232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Доведение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Кашинского муниципального округа Тверской области</w:t>
            </w:r>
          </w:p>
          <w:p w:rsidR="002326B7" w:rsidRDefault="002326B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</w:pPr>
          </w:p>
          <w:p w:rsidR="002326B7" w:rsidRDefault="002326B7">
            <w:pPr>
              <w:pStyle w:val="a3"/>
              <w:jc w:val="center"/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«Кашинский»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ind w:left="142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</w:t>
            </w: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4.7.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Кашинского муниципального округа Тверской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 w:rsidP="003122FC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bookmarkStart w:id="1" w:name="bookmark5"/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Меры кадрового и методического обеспечения профилактической работы</w:t>
            </w:r>
            <w:bookmarkEnd w:id="1"/>
          </w:p>
        </w:tc>
      </w:tr>
      <w:tr w:rsidR="002326B7" w:rsidTr="002326B7">
        <w:trPr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>целях повышения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 xml:space="preserve">профессионального уровня 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уполномоченных должностных лиц, ответственных за решение задач по противодействию идеологии терроризма на муниципальном уровне</w:t>
            </w: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5.1.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         Обеспечивать обучение муниципальных служащих в рамках дополнительного профессионального образования по программам повышения квалификации, согласованным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Минобрнауки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России 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РАНХиГС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 аппаратом НАК, на базе государственных образовательных организаций высшего образования.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Style w:val="30pt"/>
                <w:rFonts w:eastAsiaTheme="minorHAnsi"/>
                <w:color w:val="000000" w:themeColor="text1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ind w:left="142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</w:t>
            </w: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5.2.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Принимать участие в обучающих мероприятиях (конференции, форумы, семинары, «круглые столы»)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последующим освещением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их результатов на официальных сайтах, в социальных сетях и средствах массовой информации.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lastRenderedPageBreak/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Антитеррористической комиссии Кашинского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Тверской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ind w:left="142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повышения уровня подготовки кадров, задействованных в профилактической работе</w:t>
            </w: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5.3.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Организовывать дополнительное профессиональное обучение работников системы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5.4.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ind w:left="142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В целях информационного и методического сопровождения деятельности по устранению причин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радикализации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обучающихся</w:t>
            </w: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5.5.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Организовать работу по созданию и использованию в профилактике цифровых платформ, предусматривающих индивидуальное сопровождение учащихся,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rPr>
                <w:sz w:val="24"/>
                <w:szCs w:val="24"/>
              </w:rPr>
            </w:pP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2326B7" w:rsidRDefault="00232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 w:rsidP="003122FC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Организационные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меры</w:t>
            </w:r>
            <w:proofErr w:type="spellEnd"/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Style w:val="30pt"/>
                <w:rFonts w:eastAsiaTheme="minorHAnsi"/>
                <w:b/>
                <w:sz w:val="24"/>
                <w:szCs w:val="24"/>
              </w:rPr>
              <w:t>.</w:t>
            </w:r>
            <w:r>
              <w:rPr>
                <w:rStyle w:val="30pt"/>
                <w:rFonts w:eastAsiaTheme="minorHAnsi"/>
                <w:b/>
                <w:sz w:val="24"/>
                <w:szCs w:val="24"/>
                <w:lang w:val="en-US"/>
              </w:rPr>
              <w:t>1</w:t>
            </w:r>
            <w:r>
              <w:rPr>
                <w:rStyle w:val="30pt"/>
                <w:rFonts w:eastAsiaTheme="minorHAnsi"/>
                <w:b/>
                <w:sz w:val="24"/>
                <w:szCs w:val="24"/>
              </w:rPr>
              <w:t>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Организация и контроль по исполнению настоящего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Плана деятельности по участию в реализации на территории Кашинского муниципального округа Тверской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противодействия идеологии терроризма в  Российской Федерации на 2024 - 2028 годы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Кашинского муниципального округа Тверской области по социальным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6.2.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Fonts w:eastAsia="Arial Unicode M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Персональная ответственность за эффективность и качество профилактической работы по исполнению настоящего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Плана деятельности по участию в реализации на территории Кашинского муниципального округа Тверской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противодействия идеологии терроризма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Федерации на 2024 - 2028 годы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Кашинского муниципального округа Тверской области по социальным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  <w:r>
              <w:rPr>
                <w:rStyle w:val="30pt"/>
                <w:rFonts w:eastAsiaTheme="minorHAnsi"/>
                <w:b/>
                <w:sz w:val="24"/>
                <w:szCs w:val="24"/>
              </w:rPr>
              <w:t>6.3.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Fonts w:eastAsia="Arial Unicode M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Ответственность по исполнению мероприятий пунктов настоящего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Плана деятельности по участию в реализации на территории Кашинского муниципального округа Тверской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противодействия идеологии терроризма в  Российской Федерации на 2024 - 2028 годы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2326B7" w:rsidRDefault="002326B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  <w:tr w:rsidR="002326B7" w:rsidTr="002326B7">
        <w:trPr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both"/>
              <w:rPr>
                <w:rFonts w:eastAsia="Arial Unicode M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 подготовки и направление в антитеррористическую комиссию Кашинского муниципального округа в Тверской области отчетов о ходе выполнения мероприятий Плана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туризму, спорту и делам молодежи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Кашинского муниципального округа Тверской области;</w:t>
            </w:r>
          </w:p>
          <w:p w:rsidR="002326B7" w:rsidRDefault="00232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колледж»;</w:t>
            </w:r>
          </w:p>
          <w:p w:rsidR="002326B7" w:rsidRDefault="00232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колледж»;</w:t>
            </w:r>
          </w:p>
          <w:p w:rsidR="002326B7" w:rsidRDefault="002326B7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7" w:rsidRDefault="002326B7">
            <w:pPr>
              <w:pStyle w:val="a3"/>
              <w:jc w:val="center"/>
              <w:rPr>
                <w:rStyle w:val="30pt"/>
                <w:rFonts w:eastAsiaTheme="minorHAnsi"/>
                <w:b/>
                <w:sz w:val="24"/>
                <w:szCs w:val="24"/>
              </w:rPr>
            </w:pPr>
          </w:p>
        </w:tc>
      </w:tr>
    </w:tbl>
    <w:p w:rsidR="002326B7" w:rsidRDefault="002326B7" w:rsidP="00232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221" w:rsidRDefault="00CB4221"/>
    <w:sectPr w:rsidR="00CB4221" w:rsidSect="00232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A38"/>
    <w:multiLevelType w:val="hybridMultilevel"/>
    <w:tmpl w:val="5E0EC88A"/>
    <w:lvl w:ilvl="0" w:tplc="FD8ECA00">
      <w:start w:val="3"/>
      <w:numFmt w:val="upperRoman"/>
      <w:lvlText w:val="%1."/>
      <w:lvlJc w:val="left"/>
      <w:pPr>
        <w:ind w:left="4265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5344"/>
    <w:multiLevelType w:val="hybridMultilevel"/>
    <w:tmpl w:val="CFB62DF6"/>
    <w:lvl w:ilvl="0" w:tplc="428A0ECA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B1"/>
    <w:rsid w:val="002326B7"/>
    <w:rsid w:val="006F21BD"/>
    <w:rsid w:val="00A042B1"/>
    <w:rsid w:val="00C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71E5"/>
  <w15:chartTrackingRefBased/>
  <w15:docId w15:val="{8C693BBD-CCE7-4B73-A828-65461F4D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6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26B7"/>
    <w:pPr>
      <w:ind w:left="720"/>
      <w:contextualSpacing/>
    </w:pPr>
  </w:style>
  <w:style w:type="character" w:customStyle="1" w:styleId="30pt">
    <w:name w:val="Основной текст (3) + Интервал 0 pt"/>
    <w:basedOn w:val="a0"/>
    <w:rsid w:val="002326B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326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4861</Words>
  <Characters>27712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5</cp:revision>
  <cp:lastPrinted>2025-08-21T07:07:00Z</cp:lastPrinted>
  <dcterms:created xsi:type="dcterms:W3CDTF">2025-08-21T06:35:00Z</dcterms:created>
  <dcterms:modified xsi:type="dcterms:W3CDTF">2025-08-21T07:07:00Z</dcterms:modified>
</cp:coreProperties>
</file>