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 xml:space="preserve">от 25.03.2025                             </w:t>
            </w:r>
            <w:r>
              <w:rPr>
                <w:rStyle w:val="Style_5_ch"/>
                <w:rFonts w:ascii="XO Thames" w:hAnsi="XO Thames"/>
                <w:sz w:val="28"/>
              </w:rPr>
              <w:t xml:space="preserve">г. Кашин           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225-5</w:t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69:41:0010437:20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Заводская, дом 10,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</w:t>
      </w:r>
      <w:r>
        <w:rPr>
          <w:rFonts w:ascii="XO Thames" w:hAnsi="XO Thames"/>
          <w:sz w:val="28"/>
        </w:rPr>
        <w:t>20,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(зона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Заводская, дом 10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</w:t>
      </w:r>
      <w:r>
        <w:rPr>
          <w:rFonts w:ascii="XO Thames" w:hAnsi="XO Thames"/>
          <w:sz w:val="28"/>
        </w:rPr>
        <w:t>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</w:t>
      </w:r>
      <w:r>
        <w:rPr>
          <w:rFonts w:ascii="XO Thames" w:hAnsi="XO Thames"/>
          <w:sz w:val="28"/>
        </w:rPr>
        <w:t>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</w:t>
      </w:r>
      <w:r>
        <w:rPr>
          <w:rFonts w:ascii="XO Thames" w:hAnsi="XO Thames"/>
          <w:sz w:val="28"/>
        </w:rPr>
        <w:t xml:space="preserve">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сновной шрифт абзаца2"/>
    <w:link w:val="Style_6_ch"/>
  </w:style>
  <w:style w:styleId="Style_6_ch" w:type="character">
    <w:name w:val="Основной шрифт абзаца2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header"/>
    <w:basedOn w:val="Style_2"/>
    <w:link w:val="Style_23_ch"/>
    <w:pPr>
      <w:widowControl w:val="1"/>
      <w:tabs>
        <w:tab w:leader="none" w:pos="4677" w:val="center"/>
        <w:tab w:leader="none" w:pos="9355" w:val="right"/>
      </w:tabs>
      <w:ind/>
    </w:pPr>
  </w:style>
  <w:style w:styleId="Style_23_ch" w:type="character">
    <w:name w:val="header"/>
    <w:basedOn w:val="Style_2_ch"/>
    <w:link w:val="Style_23"/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foot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2_ch"/>
    <w:link w:val="Style_25"/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  <w:rPr>
      <w:rFonts w:ascii="Tms Rmn" w:hAnsi="Tms Rmn"/>
      <w:sz w:val="20"/>
    </w:rPr>
  </w:style>
  <w:style w:styleId="Style_27_ch" w:type="character">
    <w:name w:val="Обычный1"/>
    <w:link w:val="Style_27"/>
    <w:rPr>
      <w:rFonts w:ascii="Tms Rmn" w:hAnsi="Tms Rmn"/>
      <w:sz w:val="20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 Paragraph"/>
    <w:basedOn w:val="Style_2"/>
    <w:link w:val="Style_29_ch"/>
    <w:pPr>
      <w:widowControl w:val="1"/>
      <w:ind w:left="720"/>
      <w:contextualSpacing w:val="1"/>
    </w:pPr>
  </w:style>
  <w:style w:styleId="Style_29_ch" w:type="character">
    <w:name w:val="List Paragraph"/>
    <w:basedOn w:val="Style_2_ch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2"/>
    <w:link w:val="Style_3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Гиперссылка1"/>
    <w:link w:val="Style_36_ch"/>
    <w:rPr>
      <w:color w:val="0000FF"/>
      <w:u w:val="single"/>
    </w:rPr>
  </w:style>
  <w:style w:styleId="Style_36_ch" w:type="character">
    <w:name w:val="Гиперссылка1"/>
    <w:link w:val="Style_36"/>
    <w:rPr>
      <w:color w:val="0000FF"/>
      <w:u w:val="singl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2025-03-20T13:18:18Z</dcterms:created>
  <dcterms:modified xsi:type="dcterms:W3CDTF">2025-04-04T06:22:53Z</dcterms:modified>
</cp:coreProperties>
</file>