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69:41:0010437:15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Заводская, дом 7,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69:41:0010437:15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(зона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Заводская, дом 7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Под жилую застройку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</w:t>
      </w:r>
      <w:r>
        <w:rPr>
          <w:rFonts w:ascii="XO Thames" w:hAnsi="XO Thames"/>
          <w:sz w:val="28"/>
        </w:rPr>
        <w:t>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</w:t>
      </w:r>
      <w:r>
        <w:rPr>
          <w:rFonts w:ascii="XO Thames" w:hAnsi="XO Thames"/>
          <w:sz w:val="28"/>
        </w:rPr>
        <w:t>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2_ch"/>
    <w:link w:val="Style_13"/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footer"/>
    <w:basedOn w:val="Style_2"/>
    <w:link w:val="Style_33_ch"/>
    <w:pPr>
      <w:widowControl w:val="1"/>
      <w:tabs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2_ch"/>
    <w:link w:val="Style_33"/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2025-04-04T06:04:08Z</dcterms:modified>
</cp:coreProperties>
</file>