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3DC1" w:rsidRDefault="00F72B8B" w:rsidP="00BF3DC1">
      <w:pPr>
        <w:spacing w:after="0"/>
        <w:ind w:left="637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B7C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3DC1" w:rsidRPr="003C143C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BF3DC1" w:rsidRDefault="00BF3DC1" w:rsidP="00BF3DC1">
      <w:pPr>
        <w:tabs>
          <w:tab w:val="left" w:pos="198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BF3DC1" w:rsidRDefault="00BF3DC1" w:rsidP="00BF3DC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3DC1" w:rsidRPr="00AD47DF" w:rsidRDefault="00AD47DF" w:rsidP="00BF3DC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682">
        <w:rPr>
          <w:rFonts w:ascii="Times New Roman" w:eastAsia="Calibri" w:hAnsi="Times New Roman" w:cs="Times New Roman"/>
          <w:sz w:val="28"/>
          <w:szCs w:val="28"/>
        </w:rPr>
        <w:t>о</w:t>
      </w:r>
      <w:r w:rsidR="00BF3DC1">
        <w:rPr>
          <w:rFonts w:ascii="Times New Roman" w:eastAsia="Calibri" w:hAnsi="Times New Roman" w:cs="Times New Roman"/>
          <w:sz w:val="28"/>
          <w:szCs w:val="28"/>
        </w:rPr>
        <w:t>т</w:t>
      </w:r>
      <w:r w:rsidR="0027068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37737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16.04.2024 </w:t>
      </w:r>
      <w:r w:rsidR="00BF3DC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377374">
        <w:rPr>
          <w:rFonts w:ascii="Times New Roman" w:eastAsia="Calibri" w:hAnsi="Times New Roman" w:cs="Times New Roman"/>
          <w:sz w:val="28"/>
          <w:szCs w:val="28"/>
          <w:u w:val="single"/>
        </w:rPr>
        <w:t>273</w:t>
      </w:r>
      <w:bookmarkStart w:id="0" w:name="_GoBack"/>
      <w:bookmarkEnd w:id="0"/>
    </w:p>
    <w:p w:rsidR="00BF3DC1" w:rsidRDefault="00BF3DC1" w:rsidP="00BF3DC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Кашинского городского округа</w:t>
      </w:r>
    </w:p>
    <w:p w:rsidR="00397AAD" w:rsidRPr="009A4237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9A423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27.12.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2022</w:t>
      </w: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A4237">
        <w:rPr>
          <w:rFonts w:ascii="Times New Roman" w:eastAsia="Calibri" w:hAnsi="Times New Roman" w:cs="Times New Roman"/>
          <w:sz w:val="28"/>
          <w:szCs w:val="28"/>
          <w:u w:val="single"/>
        </w:rPr>
        <w:t>986</w:t>
      </w:r>
    </w:p>
    <w:p w:rsidR="00397AAD" w:rsidRPr="008B4250" w:rsidRDefault="00397AAD" w:rsidP="00397AAD">
      <w:pPr>
        <w:spacing w:after="0" w:line="240" w:lineRule="auto"/>
        <w:ind w:firstLine="709"/>
        <w:jc w:val="right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  <w:t>Муниципальная программа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«Социальная поддержка граждан 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>на территории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Кашинск</w:t>
      </w:r>
      <w:r w:rsidR="0095513B">
        <w:rPr>
          <w:rFonts w:ascii="Times New Roman" w:eastAsia="Calibri" w:hAnsi="Times New Roman" w:cs="Times New Roman"/>
          <w:sz w:val="32"/>
          <w:szCs w:val="32"/>
        </w:rPr>
        <w:t>ого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городско</w:t>
      </w:r>
      <w:r w:rsidR="0095513B">
        <w:rPr>
          <w:rFonts w:ascii="Times New Roman" w:eastAsia="Calibri" w:hAnsi="Times New Roman" w:cs="Times New Roman"/>
          <w:sz w:val="32"/>
          <w:szCs w:val="32"/>
        </w:rPr>
        <w:t>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округ Тверской области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на 20</w:t>
      </w:r>
      <w:r w:rsidR="006627B0">
        <w:rPr>
          <w:rFonts w:ascii="Times New Roman" w:eastAsia="Calibri" w:hAnsi="Times New Roman" w:cs="Times New Roman"/>
          <w:sz w:val="32"/>
          <w:szCs w:val="32"/>
        </w:rPr>
        <w:t>23</w:t>
      </w:r>
      <w:r>
        <w:rPr>
          <w:rFonts w:ascii="Times New Roman" w:eastAsia="Calibri" w:hAnsi="Times New Roman" w:cs="Times New Roman"/>
          <w:sz w:val="32"/>
          <w:szCs w:val="32"/>
        </w:rPr>
        <w:t>-202</w:t>
      </w:r>
      <w:r w:rsidR="006627B0">
        <w:rPr>
          <w:rFonts w:ascii="Times New Roman" w:eastAsia="Calibri" w:hAnsi="Times New Roman" w:cs="Times New Roman"/>
          <w:sz w:val="32"/>
          <w:szCs w:val="32"/>
        </w:rPr>
        <w:t>8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годы»</w:t>
      </w: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32"/>
          <w:szCs w:val="32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726D27" w:rsidRDefault="00726D27" w:rsidP="00397AAD">
      <w:pPr>
        <w:rPr>
          <w:rFonts w:ascii="Calibri" w:eastAsia="Calibri" w:hAnsi="Calibri" w:cs="Times New Roman"/>
        </w:rPr>
      </w:pPr>
    </w:p>
    <w:p w:rsidR="00726D27" w:rsidRDefault="00726D27" w:rsidP="00397AAD">
      <w:pPr>
        <w:rPr>
          <w:rFonts w:ascii="Calibri" w:eastAsia="Calibri" w:hAnsi="Calibri" w:cs="Times New Roman"/>
        </w:rPr>
      </w:pPr>
    </w:p>
    <w:p w:rsidR="00726D27" w:rsidRDefault="00726D27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 w:rsidRPr="008B425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г. Кашин</w:t>
      </w:r>
    </w:p>
    <w:p w:rsidR="00726D27" w:rsidRDefault="00397AAD" w:rsidP="00726D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20</w:t>
      </w:r>
      <w:r w:rsidR="006627B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22</w:t>
      </w: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 xml:space="preserve"> год</w:t>
      </w:r>
    </w:p>
    <w:p w:rsidR="00520BB9" w:rsidRPr="008B4250" w:rsidRDefault="00520BB9" w:rsidP="00520B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</w:rPr>
        <w:lastRenderedPageBreak/>
        <w:t>Паспорт</w:t>
      </w:r>
    </w:p>
    <w:p w:rsidR="00520BB9" w:rsidRPr="008B4250" w:rsidRDefault="00520BB9" w:rsidP="00520B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520BB9" w:rsidRPr="008B4250" w:rsidRDefault="00520BB9" w:rsidP="00520BB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432"/>
        <w:gridCol w:w="992"/>
        <w:gridCol w:w="992"/>
        <w:gridCol w:w="993"/>
        <w:gridCol w:w="992"/>
        <w:gridCol w:w="992"/>
        <w:gridCol w:w="850"/>
      </w:tblGrid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«Социальная поддержка граждан на терри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тории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Кашинск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Тверской области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23-2028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520BB9" w:rsidRPr="008B4250" w:rsidTr="00BD0853">
        <w:trPr>
          <w:trHeight w:val="1550"/>
        </w:trPr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от 21.12.1996 № 159-ФЗ «О дополнительных гарантиях по социальной поддержке детей-сирот и детей, оставшихся без попечения родителей», </w:t>
            </w:r>
          </w:p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      </w:r>
          </w:p>
          <w:p w:rsidR="00520BB9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07.12.2011 № 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граждан», </w:t>
            </w:r>
          </w:p>
          <w:p w:rsidR="00520BB9" w:rsidRDefault="00520BB9" w:rsidP="00BD0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325FC1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</w:t>
            </w:r>
          </w:p>
          <w:p w:rsidR="00520BB9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</w:t>
            </w:r>
          </w:p>
          <w:p w:rsidR="00520BB9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</w:t>
            </w:r>
            <w:r w:rsidR="000C71A3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71225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>.02.202</w:t>
            </w:r>
            <w:r w:rsidR="0071225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</w:t>
            </w:r>
            <w:r w:rsidR="0071225A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>-пп «О государственной программе Тверской области "Развитие демографической и семейной политики Тверской области»,</w:t>
            </w:r>
          </w:p>
          <w:p w:rsidR="00520BB9" w:rsidRPr="002A558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акон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Российской Федерации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 19.04.1991 № 1032-1 «О занятости населения в Российской Федерации»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274D8E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Кашинского городского округа по социальным вопросам;</w:t>
            </w:r>
          </w:p>
          <w:p w:rsidR="00520BB9" w:rsidRPr="00274D8E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Администрации Кашинского городского округа;</w:t>
            </w:r>
          </w:p>
          <w:p w:rsidR="00520BB9" w:rsidRPr="00274D8E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культуре, туризму, спорту и делам молодёжи Администрации Кашинского городского округа; </w:t>
            </w:r>
          </w:p>
          <w:p w:rsidR="00520BB9" w:rsidRPr="00475526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5ED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35EDD" w:rsidRPr="00535EDD">
              <w:rPr>
                <w:rFonts w:ascii="Times New Roman" w:eastAsia="Calibri" w:hAnsi="Times New Roman" w:cs="Times New Roman"/>
                <w:sz w:val="28"/>
                <w:szCs w:val="28"/>
              </w:rPr>
              <w:t>Объединение усилий органов местного самоуправления,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</w:t>
            </w:r>
            <w:r w:rsidR="00535ED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2. Социальная поддержка и улучшение качества жизни социально уязвимых категорий граждан.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Содействие временной занятости безработных и ищущих работу граждан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» (далее - подпрограмма 1).</w:t>
            </w:r>
          </w:p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2 «Обеспечение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жильем отдельных категорий граждан»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(далее - подпрограмма 2).</w:t>
            </w:r>
          </w:p>
        </w:tc>
      </w:tr>
      <w:tr w:rsidR="00520BB9" w:rsidRPr="008B4250" w:rsidTr="00BD0853">
        <w:tc>
          <w:tcPr>
            <w:tcW w:w="2254" w:type="dxa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4755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созданных временных рабочих мест в ходе реализации Программы за период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- не менее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20BB9" w:rsidRPr="00475526" w:rsidRDefault="00520BB9" w:rsidP="00BD085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2.Численность граждан, трудоустроенных в ходе реализации Программы за период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– не менее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20BB9" w:rsidRDefault="00520BB9" w:rsidP="00BD085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3.Увеличение количества детей-сирот и детей, оставшихся без попечения родителей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, лиц из их числа, обеспеченных жильем, в текущем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20BB9" w:rsidRPr="008B4250" w:rsidRDefault="00520BB9" w:rsidP="00BD085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4.Увеличение к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малоимущих многодетных семей, улучшивших жилищные условия, состоящих на учете в качестве нуждающихся в жилых помещениях, предоставляемых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договорам социального найма, 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в текущем году.</w:t>
            </w:r>
          </w:p>
        </w:tc>
      </w:tr>
      <w:tr w:rsidR="00520BB9" w:rsidRPr="008B4250" w:rsidTr="00BD0853">
        <w:trPr>
          <w:trHeight w:val="1615"/>
        </w:trPr>
        <w:tc>
          <w:tcPr>
            <w:tcW w:w="2254" w:type="dxa"/>
            <w:vMerge w:val="restart"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годам ее реализации в разрезе подпрограмм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520BB9" w:rsidRPr="0098461D" w:rsidRDefault="00520BB9" w:rsidP="00BD08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Общий объем финансирования программы на 2023-2028 годы 2</w:t>
            </w:r>
            <w:r w:rsidR="00864B14">
              <w:rPr>
                <w:rFonts w:ascii="Times New Roman" w:hAnsi="Times New Roman"/>
                <w:sz w:val="28"/>
              </w:rPr>
              <w:t>5258,6</w:t>
            </w:r>
            <w:r>
              <w:rPr>
                <w:rFonts w:ascii="Times New Roman" w:hAnsi="Times New Roman"/>
                <w:sz w:val="28"/>
              </w:rPr>
              <w:t xml:space="preserve"> тыс. руб., в том числе за счёт средств федерального и (или) областного бюджетов – </w:t>
            </w:r>
            <w:r w:rsidR="00AD47DF">
              <w:rPr>
                <w:rFonts w:ascii="Times New Roman" w:hAnsi="Times New Roman"/>
                <w:sz w:val="28"/>
              </w:rPr>
              <w:t>2</w:t>
            </w:r>
            <w:r w:rsidR="00864B14">
              <w:rPr>
                <w:rFonts w:ascii="Times New Roman" w:hAnsi="Times New Roman"/>
                <w:sz w:val="28"/>
              </w:rPr>
              <w:t>2898,6</w:t>
            </w:r>
            <w:r>
              <w:rPr>
                <w:rFonts w:ascii="Times New Roman" w:hAnsi="Times New Roman"/>
                <w:sz w:val="28"/>
              </w:rPr>
              <w:t xml:space="preserve"> тыс. руб., средств бюджета Кашинского городского округа – 2360,0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тыс</w:t>
            </w:r>
            <w:r>
              <w:rPr>
                <w:rFonts w:ascii="Times New Roman" w:hAnsi="Times New Roman"/>
                <w:sz w:val="28"/>
              </w:rPr>
              <w:t>. руб., в том числе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520BB9" w:rsidRPr="008B4250" w:rsidTr="00BD0853">
        <w:trPr>
          <w:trHeight w:val="284"/>
        </w:trPr>
        <w:tc>
          <w:tcPr>
            <w:tcW w:w="2254" w:type="dxa"/>
            <w:vMerge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Номер подпрограммы</w:t>
            </w:r>
          </w:p>
        </w:tc>
        <w:tc>
          <w:tcPr>
            <w:tcW w:w="5811" w:type="dxa"/>
            <w:gridSpan w:val="6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20BB9" w:rsidRPr="008B4250" w:rsidTr="00BD0853">
        <w:trPr>
          <w:trHeight w:val="531"/>
        </w:trPr>
        <w:tc>
          <w:tcPr>
            <w:tcW w:w="2254" w:type="dxa"/>
            <w:vMerge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shd w:val="clear" w:color="auto" w:fill="auto"/>
          </w:tcPr>
          <w:p w:rsidR="00520BB9" w:rsidRPr="00F460A7" w:rsidRDefault="00520BB9" w:rsidP="00BD08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</w:tr>
      <w:tr w:rsidR="00520BB9" w:rsidRPr="008B4250" w:rsidTr="00BD0853">
        <w:trPr>
          <w:trHeight w:val="701"/>
        </w:trPr>
        <w:tc>
          <w:tcPr>
            <w:tcW w:w="2254" w:type="dxa"/>
            <w:vMerge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520BB9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</w:tr>
      <w:tr w:rsidR="00520BB9" w:rsidRPr="00475526" w:rsidTr="00BD0853">
        <w:trPr>
          <w:trHeight w:val="687"/>
        </w:trPr>
        <w:tc>
          <w:tcPr>
            <w:tcW w:w="2254" w:type="dxa"/>
            <w:vMerge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92" w:type="dxa"/>
            <w:shd w:val="clear" w:color="auto" w:fill="auto"/>
          </w:tcPr>
          <w:p w:rsidR="00520BB9" w:rsidRPr="00830F2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6982</w:t>
            </w:r>
            <w:r w:rsidRPr="00830F2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20BB9" w:rsidRPr="00475526" w:rsidRDefault="0096058E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5645,9</w:t>
            </w:r>
          </w:p>
        </w:tc>
        <w:tc>
          <w:tcPr>
            <w:tcW w:w="993" w:type="dxa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2045,9</w:t>
            </w:r>
          </w:p>
        </w:tc>
        <w:tc>
          <w:tcPr>
            <w:tcW w:w="992" w:type="dxa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3381,5</w:t>
            </w:r>
          </w:p>
        </w:tc>
        <w:tc>
          <w:tcPr>
            <w:tcW w:w="992" w:type="dxa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3381,5</w:t>
            </w:r>
          </w:p>
        </w:tc>
        <w:tc>
          <w:tcPr>
            <w:tcW w:w="850" w:type="dxa"/>
            <w:shd w:val="clear" w:color="auto" w:fill="auto"/>
          </w:tcPr>
          <w:p w:rsidR="00520BB9" w:rsidRPr="00475526" w:rsidRDefault="00520BB9" w:rsidP="00BD085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3381,5</w:t>
            </w:r>
          </w:p>
        </w:tc>
      </w:tr>
      <w:tr w:rsidR="00520BB9" w:rsidRPr="008B4250" w:rsidTr="00BD0853">
        <w:trPr>
          <w:trHeight w:val="437"/>
        </w:trPr>
        <w:tc>
          <w:tcPr>
            <w:tcW w:w="2254" w:type="dxa"/>
            <w:vMerge/>
            <w:shd w:val="clear" w:color="auto" w:fill="auto"/>
          </w:tcPr>
          <w:p w:rsidR="00520BB9" w:rsidRPr="008B4250" w:rsidRDefault="00520BB9" w:rsidP="00BD08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20BB9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7072,3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96058E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5715,9</w:t>
            </w:r>
          </w:p>
        </w:tc>
        <w:tc>
          <w:tcPr>
            <w:tcW w:w="993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2115,9</w:t>
            </w:r>
          </w:p>
        </w:tc>
        <w:tc>
          <w:tcPr>
            <w:tcW w:w="992" w:type="dxa"/>
            <w:shd w:val="clear" w:color="auto" w:fill="auto"/>
          </w:tcPr>
          <w:p w:rsidR="00520BB9" w:rsidRPr="00F460A7" w:rsidRDefault="00520BB9" w:rsidP="00BD085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3451,5</w:t>
            </w:r>
          </w:p>
        </w:tc>
        <w:tc>
          <w:tcPr>
            <w:tcW w:w="992" w:type="dxa"/>
            <w:shd w:val="clear" w:color="auto" w:fill="auto"/>
          </w:tcPr>
          <w:p w:rsidR="00520BB9" w:rsidRDefault="00520BB9" w:rsidP="00BD0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3451,5</w:t>
            </w:r>
          </w:p>
        </w:tc>
        <w:tc>
          <w:tcPr>
            <w:tcW w:w="850" w:type="dxa"/>
            <w:shd w:val="clear" w:color="auto" w:fill="auto"/>
          </w:tcPr>
          <w:p w:rsidR="00520BB9" w:rsidRDefault="00520BB9" w:rsidP="00BD085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3451,5</w:t>
            </w:r>
          </w:p>
        </w:tc>
      </w:tr>
    </w:tbl>
    <w:p w:rsidR="00520BB9" w:rsidRDefault="00520BB9" w:rsidP="00520BB9"/>
    <w:p w:rsidR="00520BB9" w:rsidRPr="00726D27" w:rsidRDefault="00520BB9" w:rsidP="00726D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numPr>
          <w:ilvl w:val="0"/>
          <w:numId w:val="1"/>
        </w:numPr>
        <w:tabs>
          <w:tab w:val="clear" w:pos="1060"/>
          <w:tab w:val="num" w:pos="0"/>
        </w:tabs>
        <w:spacing w:after="0" w:line="240" w:lineRule="auto"/>
        <w:ind w:left="0" w:right="38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B4250">
        <w:rPr>
          <w:rFonts w:ascii="Times New Roman" w:eastAsia="Calibri" w:hAnsi="Times New Roman" w:cs="Times New Roman"/>
          <w:b/>
          <w:sz w:val="28"/>
          <w:szCs w:val="28"/>
        </w:rPr>
        <w:t>бщая характеристика сферы реализации</w:t>
      </w:r>
    </w:p>
    <w:p w:rsidR="00397AAD" w:rsidRPr="008B4250" w:rsidRDefault="00397AAD" w:rsidP="00397AAD">
      <w:pPr>
        <w:tabs>
          <w:tab w:val="num" w:pos="0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</w:p>
    <w:p w:rsidR="00397AAD" w:rsidRPr="008B4250" w:rsidRDefault="00397AAD" w:rsidP="00397AAD">
      <w:pPr>
        <w:spacing w:after="0" w:line="240" w:lineRule="auto"/>
        <w:ind w:left="700" w:right="38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Социальная поддержка </w:t>
      </w:r>
      <w:proofErr w:type="gramStart"/>
      <w:r w:rsidRPr="008B4250">
        <w:rPr>
          <w:rFonts w:ascii="Times New Roman" w:eastAsia="Calibri" w:hAnsi="Times New Roman" w:cs="Times New Roman"/>
          <w:sz w:val="28"/>
          <w:szCs w:val="28"/>
        </w:rPr>
        <w:t>- это</w:t>
      </w:r>
      <w:proofErr w:type="gramEnd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временные или постоянные меры адресной поддержки отдельных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Исходя из стратегии социально-экономического развития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</w:t>
      </w:r>
      <w:r w:rsidR="00E54A15">
        <w:rPr>
          <w:rFonts w:ascii="Times New Roman" w:eastAsia="Calibri" w:hAnsi="Times New Roman" w:cs="Times New Roman"/>
          <w:sz w:val="28"/>
          <w:szCs w:val="28"/>
        </w:rPr>
        <w:t>а Тверской области</w:t>
      </w:r>
      <w:r w:rsidRPr="008B4250">
        <w:rPr>
          <w:rFonts w:ascii="Times New Roman" w:eastAsia="Calibri" w:hAnsi="Times New Roman" w:cs="Times New Roman"/>
          <w:sz w:val="28"/>
          <w:szCs w:val="28"/>
        </w:rPr>
        <w:t>, в рамках полномочий в соответствии с Федеральным законом от 06.10.2003 № 131-ФЗ «Об общих принципах организации местного самоуправления в Российской Федерации» определены следующие приоритетные направления социальной поддержки граждан: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оказание содействия временной занятости безработных и ищущих работу граждан;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детей-сирот и детей, оставшихся без попечения родителей, лиц из их числа по договорам найма специализированных жилых помещений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обеспечение жилыми помещениями по договору социального найма малоимущих многодетных семей, состоящих на учете в качестве нуждающихся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жилых помещений</w:t>
      </w:r>
      <w:proofErr w:type="gramEnd"/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1.Состояние рынка труда находится в прямой зависимости от социально-экономических процессов, протекающих не только в регионе, но и в масштабах страны в целом.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Эффективное проведение Главным управлением по труду и занятости населения Тверской области и Государственным казённым учреждением Тверской области «Центр занятости населения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ЦЗН), органами местного самоуправления, заинтересованными организациями, работодателями активных мероприятий позволяет регулировать и управлять процессами на рынке труда, держать ситуацию в сфере занятости населения под постоянным контролем.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рынке труда Кашинского городского округа по состоянию на </w:t>
      </w:r>
      <w:proofErr w:type="gramStart"/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01.10.2022  характеризуется</w:t>
      </w:r>
      <w:proofErr w:type="gramEnd"/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следующими показателями: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B632CE">
        <w:rPr>
          <w:rFonts w:ascii="Times New Roman" w:hAnsi="Times New Roman" w:cs="Times New Roman"/>
          <w:sz w:val="28"/>
          <w:szCs w:val="28"/>
        </w:rPr>
        <w:t>оэффициент напряженности на рынке труда 0,5 (число безработных граждан на одну вакансию);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632CE">
        <w:rPr>
          <w:rFonts w:ascii="Times New Roman" w:hAnsi="Times New Roman" w:cs="Times New Roman"/>
          <w:sz w:val="28"/>
          <w:szCs w:val="28"/>
        </w:rPr>
        <w:t xml:space="preserve"> в течение января-сентября 2022 года органами службы занятости трудоустроено 187 человек;</w:t>
      </w:r>
    </w:p>
    <w:p w:rsidR="00B632CE" w:rsidRPr="00B632CE" w:rsidRDefault="00B632CE" w:rsidP="00E54A15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возможность временного трудоустройства на общественные работы получили 22 человека;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по направлению органов службы занятости приступило к профобучению 70 безработных.</w:t>
      </w:r>
    </w:p>
    <w:p w:rsidR="00B632CE" w:rsidRPr="00B632CE" w:rsidRDefault="00B632CE" w:rsidP="00B632C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По сравнению с 01.10. 2021: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уровень регистрируемой безработицы на рынке труда – на 0,5% ниже</w:t>
      </w:r>
      <w:r w:rsidR="00F720B8">
        <w:rPr>
          <w:rFonts w:ascii="Times New Roman" w:hAnsi="Times New Roman" w:cs="Times New Roman"/>
          <w:sz w:val="28"/>
          <w:szCs w:val="28"/>
        </w:rPr>
        <w:t>;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коэффициент напряженности на рынке труда – на 1,1% ниже</w:t>
      </w:r>
      <w:r w:rsidR="00F720B8">
        <w:rPr>
          <w:rFonts w:ascii="Times New Roman" w:hAnsi="Times New Roman" w:cs="Times New Roman"/>
          <w:sz w:val="28"/>
          <w:szCs w:val="28"/>
        </w:rPr>
        <w:t>.</w:t>
      </w:r>
    </w:p>
    <w:p w:rsidR="00B632CE" w:rsidRPr="00B632CE" w:rsidRDefault="00B632CE" w:rsidP="00B632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В органах службы занятости зарегистрировано 116 человек, ищущих работу, из них 104 чел. безработных.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основных показателей рынка труда 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366"/>
        <w:gridCol w:w="1366"/>
        <w:gridCol w:w="1366"/>
        <w:gridCol w:w="1366"/>
        <w:gridCol w:w="1367"/>
      </w:tblGrid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рынка труда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01.01.2019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01.01.2020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01.01.2021</w:t>
            </w:r>
          </w:p>
        </w:tc>
        <w:tc>
          <w:tcPr>
            <w:tcW w:w="1366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01.01.2022</w:t>
            </w:r>
          </w:p>
        </w:tc>
        <w:tc>
          <w:tcPr>
            <w:tcW w:w="1367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01.10.2022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безработицы,</w:t>
            </w:r>
            <w:r w:rsidR="00566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человек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заявленных вакансий,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 на рынке труда,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left="-102" w:firstLine="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положительную динамику основных показателей на рынке труда Кашинского городского округа, ситуация остается сложной. Уровень регистрируемой безработицы превышает среднеобластной показатель на 0,3%.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трудоустройству ищущих работу граждан, стабилизация и снижение безработицы на муниципальном рынке труда, оказание социальной поддержки безработным гражданам предполагают осуществление комплекса мероприятий, увязанных по срокам, источникам финансирования, требующих координации деятельности ЦЗН, работодателей, </w:t>
      </w:r>
      <w:r w:rsidR="009A02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Кашинского 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реализуемых программными методами.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В последние годы в фокусе социальной политики Тверской области находятся наиболее значимые проблемы в области детства.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детей-сирот, детей, оставшихся без попечения родителей, и лиц из их числа.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755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 Тверском регионе зарегистрировано более 5,5 тысячи детей, оставшихся без попечения родителей. И, что очень важно, большинство – в возрасте от 10 до 17 лет. То есть, с одной</w:t>
      </w: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стороны, объективно трудно надеяться на то, что кто-то их в таком возрасте усыновит, с другой – они находятся на пороге взрослой жизни для нормального вступления, в которую, им требуются не только образование и медицинское обслуживание, но и жилье. Проблема жилья у граждан этой категории наиболее значима. Большинство детей-сирот, детей, оставшихся без попечения родителей, и лиц из их числа жилья не имеют или проживание ребенка-сироты в ранее закрепленном жилом помещении невозможно в связи с признанием его непригодным для проживания.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Одним из приоритетов государственной социальной политики объявлено решение жилищной проблемы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. С этой целью </w:t>
      </w:r>
      <w:r w:rsidR="009A02E6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65260C">
        <w:rPr>
          <w:rFonts w:ascii="Times New Roman" w:eastAsia="Calibri" w:hAnsi="Times New Roman" w:cs="Times New Roman"/>
          <w:sz w:val="28"/>
          <w:szCs w:val="28"/>
        </w:rPr>
        <w:t>Кашинск</w:t>
      </w:r>
      <w:r w:rsidR="009A02E6">
        <w:rPr>
          <w:rFonts w:ascii="Times New Roman" w:eastAsia="Calibri" w:hAnsi="Times New Roman" w:cs="Times New Roman"/>
          <w:sz w:val="28"/>
          <w:szCs w:val="28"/>
        </w:rPr>
        <w:t>ого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9A02E6">
        <w:rPr>
          <w:rFonts w:ascii="Times New Roman" w:eastAsia="Calibri" w:hAnsi="Times New Roman" w:cs="Times New Roman"/>
          <w:sz w:val="28"/>
          <w:szCs w:val="28"/>
        </w:rPr>
        <w:t>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9A02E6">
        <w:rPr>
          <w:rFonts w:ascii="Times New Roman" w:eastAsia="Calibri" w:hAnsi="Times New Roman" w:cs="Times New Roman"/>
          <w:sz w:val="28"/>
          <w:szCs w:val="28"/>
        </w:rPr>
        <w:t>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активно участвует в реализации указанной проблемы. 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период с 20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20</w:t>
      </w:r>
      <w:r w:rsidR="00F30FD3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 w:rsid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67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человек из числа </w:t>
      </w:r>
      <w:r w:rsidRPr="0065260C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детей-сирот, детей, оставшихся без попечения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родителей, и лиц из их числа получили свое жилье</w:t>
      </w:r>
      <w:r w:rsidRPr="006526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A5B92" w:rsidRDefault="00397AAD" w:rsidP="00397A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B92">
        <w:rPr>
          <w:rFonts w:ascii="Times New Roman" w:hAnsi="Times New Roman" w:cs="Times New Roman"/>
          <w:sz w:val="28"/>
          <w:szCs w:val="28"/>
        </w:rPr>
        <w:t xml:space="preserve">3. 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  <w:r w:rsidRPr="008A5B92">
        <w:rPr>
          <w:rFonts w:ascii="Times New Roman" w:hAnsi="Times New Roman" w:cs="Times New Roman"/>
          <w:sz w:val="28"/>
          <w:szCs w:val="28"/>
        </w:rPr>
        <w:t xml:space="preserve"> городского округа,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развития.</w:t>
      </w:r>
    </w:p>
    <w:p w:rsidR="00397AAD" w:rsidRPr="008A5B92" w:rsidRDefault="00397AAD" w:rsidP="0065260C">
      <w:pPr>
        <w:pStyle w:val="1"/>
        <w:ind w:firstLine="720"/>
        <w:jc w:val="both"/>
        <w:rPr>
          <w:sz w:val="28"/>
          <w:szCs w:val="28"/>
        </w:rPr>
      </w:pPr>
      <w:r w:rsidRPr="0065260C">
        <w:rPr>
          <w:sz w:val="28"/>
          <w:szCs w:val="28"/>
        </w:rPr>
        <w:t xml:space="preserve">В настоящее время на учете в </w:t>
      </w:r>
      <w:r w:rsidR="009A02E6">
        <w:rPr>
          <w:sz w:val="28"/>
          <w:szCs w:val="28"/>
        </w:rPr>
        <w:t>Администрации Кашинского городского округа</w:t>
      </w:r>
      <w:r w:rsidRPr="0065260C">
        <w:rPr>
          <w:sz w:val="28"/>
          <w:szCs w:val="28"/>
        </w:rPr>
        <w:t xml:space="preserve"> состоит </w:t>
      </w:r>
      <w:r w:rsidR="002D7ACE" w:rsidRPr="0065260C">
        <w:rPr>
          <w:sz w:val="28"/>
          <w:szCs w:val="28"/>
        </w:rPr>
        <w:t>5</w:t>
      </w:r>
      <w:r w:rsidRPr="0065260C">
        <w:rPr>
          <w:sz w:val="28"/>
          <w:szCs w:val="28"/>
        </w:rPr>
        <w:t xml:space="preserve"> многодетных семей</w:t>
      </w:r>
      <w:r w:rsidR="00D423E0" w:rsidRPr="0065260C">
        <w:rPr>
          <w:sz w:val="28"/>
          <w:szCs w:val="28"/>
        </w:rPr>
        <w:t>.</w:t>
      </w:r>
      <w:r w:rsidR="0065260C" w:rsidRPr="0065260C">
        <w:rPr>
          <w:sz w:val="28"/>
          <w:szCs w:val="28"/>
        </w:rPr>
        <w:t xml:space="preserve"> </w:t>
      </w:r>
      <w:r w:rsidR="0065260C">
        <w:rPr>
          <w:sz w:val="28"/>
          <w:szCs w:val="28"/>
        </w:rPr>
        <w:t>В период с 2020 по 2023 годы 4 многодетны</w:t>
      </w:r>
      <w:r w:rsidR="001E18F0">
        <w:rPr>
          <w:sz w:val="28"/>
          <w:szCs w:val="28"/>
        </w:rPr>
        <w:t>е</w:t>
      </w:r>
      <w:r w:rsidR="0065260C">
        <w:rPr>
          <w:sz w:val="28"/>
          <w:szCs w:val="28"/>
        </w:rPr>
        <w:t xml:space="preserve"> сем</w:t>
      </w:r>
      <w:r w:rsidR="001E18F0">
        <w:rPr>
          <w:sz w:val="28"/>
          <w:szCs w:val="28"/>
        </w:rPr>
        <w:t>ьи</w:t>
      </w:r>
      <w:r w:rsidR="0065260C">
        <w:rPr>
          <w:sz w:val="28"/>
          <w:szCs w:val="28"/>
        </w:rPr>
        <w:t xml:space="preserve"> в рамках данной Программы получили жилье.</w:t>
      </w:r>
      <w:r w:rsidR="00895EFF">
        <w:rPr>
          <w:sz w:val="28"/>
          <w:szCs w:val="28"/>
        </w:rPr>
        <w:t xml:space="preserve"> </w:t>
      </w:r>
      <w:r w:rsidRPr="0065260C">
        <w:rPr>
          <w:sz w:val="28"/>
          <w:szCs w:val="28"/>
        </w:rPr>
        <w:t>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  <w:r w:rsidR="002D7ACE">
        <w:rPr>
          <w:sz w:val="28"/>
          <w:szCs w:val="28"/>
        </w:rPr>
        <w:t xml:space="preserve"> </w:t>
      </w:r>
      <w:bookmarkStart w:id="1" w:name="_Hlk122519506"/>
    </w:p>
    <w:p w:rsidR="00397AAD" w:rsidRPr="008B4250" w:rsidRDefault="00397AAD" w:rsidP="00397AAD">
      <w:pPr>
        <w:spacing w:after="0" w:line="240" w:lineRule="auto"/>
        <w:ind w:left="357" w:right="-45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1.2. Перечень основных проблем в сфере реализации муниципальной программы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актуальными проблемами рынка труда являются: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профессионально-квалификационной структуры безработных граждан структуре вакантных рабочих мест, которое связано: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наличием среди безработных граждан значительного числа лиц, не имеющих профессии (специальности);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B63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D64"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квалификации по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имеющейся специальности;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недоступность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жителей села);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профилю специализации;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выходом на рынок труда работников, имеющих узкоспециализированную профессиональную подготовку и опыт работы, не применимые на действующих рабочих местах.</w:t>
      </w:r>
    </w:p>
    <w:p w:rsidR="00397AAD" w:rsidRPr="00B632C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84 % спроса составляют заявки на рабочие кадры. Требуются рабочие различных уровней квалификации по специальностям: </w:t>
      </w:r>
      <w:r w:rsidRPr="00B632CE">
        <w:rPr>
          <w:rFonts w:ascii="Times New Roman" w:eastAsia="Calibri" w:hAnsi="Times New Roman" w:cs="Times New Roman"/>
          <w:sz w:val="28"/>
          <w:szCs w:val="28"/>
        </w:rPr>
        <w:t>каменщики, плотники, швей, водители, штукатуры, формовщики машинной формовки</w:t>
      </w: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32CE">
        <w:rPr>
          <w:rFonts w:ascii="Times New Roman" w:eastAsia="Calibri" w:hAnsi="Times New Roman" w:cs="Times New Roman"/>
          <w:sz w:val="28"/>
          <w:szCs w:val="28"/>
        </w:rPr>
        <w:t xml:space="preserve">В числе безработных граждан преобладают: разнорабочие, подсобные рабочие, уборщики, водители, сторожа, бухгалтеры, доярки, медсёстры и т.д.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>2) Высокий уровень незанятости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населения (40% из числа безработных), что обусловлено низкой трудовой мобильностью сельского населения, сезонностью характера работ в сельскохозяйственном производстве (в связи с окончанием сезонных работ число вакансий, заявляемых сельскими работодателями в осенне-зимний период, значительно сокращается).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Ограниченные возможности для трудоустройства безработных граждан, испытывающих трудности при трудоустройстве, которые связаны: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недостаточной эффективностью административных мер, определенных федеральным законодательством, обязывающих работодателей участвовать в реализации государственной политики занятости населения;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 отсутствием механизмов стимулирования работодателей к трудоустройству граждан с низкой конкурентоспособностью. 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4) Трудности при поиске работы граждан, отсутствие заинтересованности работодателей в создании временных рабочих мест для трудоустройства подростков.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Недостаточная обеспеченность жильем </w:t>
      </w:r>
      <w:r w:rsidRPr="008B4250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397AAD" w:rsidRPr="00B632CE" w:rsidRDefault="009A02E6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Администрация Кашинского городского округа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приобрета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 жилые помещения для детей-сирот в соответствии с федеральным законодательством по стоимости в пределах средств из федерального и (или) областного бюджета Тверской области, предоставляемых в </w:t>
      </w:r>
      <w:r w:rsidR="00397AAD"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виде субвенций бюджетам муниципальных образований.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Несмотря на поступающее финансирование из областного бюджета, муниципалитетам пока не удается сократить список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 указанной категории, нуждающихся в жилье.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Найти жилое помещение, соответствующее следующим требованиям законодательства: благоустроенное применительно к условиям населенного пункта; площадь приобретаемого жилья не может быть ниже нормы предоставления площади жилых помещений; в пределах средств субвенций - очень сложно.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Продавцы жилых помещений не охотно сотрудничают с </w:t>
      </w:r>
      <w:r w:rsidR="009A02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Администрацией Кашинского городского округа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связи с усложненной процедурой приобретения жилья в соответствии с требованиями Федерал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ьного закона от 05.04.2013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№ 44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noBreakHyphen/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ФЗ «О контрактной системе в сфере закупок товаров, работ, услуг для обеспечения государственных и муниципальных нужд».</w:t>
      </w:r>
    </w:p>
    <w:p w:rsidR="00FC711E" w:rsidRDefault="00397AAD" w:rsidP="00FC7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Жилищная проблема является одной из наиболее актуальных в социальной сфере и напрямую влияет на демографическую сит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уацию для семей. </w:t>
      </w: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  <w:r w:rsidR="00FC711E" w:rsidRPr="00FC7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CA131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 2. Цели муниципальной программы </w:t>
      </w:r>
    </w:p>
    <w:p w:rsidR="00397AAD" w:rsidRPr="008B4250" w:rsidRDefault="00397AAD" w:rsidP="00397AAD">
      <w:pPr>
        <w:spacing w:after="0" w:line="240" w:lineRule="auto"/>
        <w:ind w:left="357" w:firstLine="567"/>
        <w:jc w:val="center"/>
        <w:rPr>
          <w:rFonts w:ascii="Times New Roman" w:eastAsia="Calibri" w:hAnsi="Times New Roman" w:cs="Times New Roman"/>
          <w:color w:val="FFC000"/>
          <w:sz w:val="28"/>
          <w:szCs w:val="28"/>
        </w:rPr>
      </w:pP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 рамках приоритетных направлений социальной поддержки граждан на территории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целями Программы являются:</w:t>
      </w:r>
    </w:p>
    <w:p w:rsidR="00397AAD" w:rsidRPr="00274D8E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EDD">
        <w:rPr>
          <w:rFonts w:ascii="Times New Roman" w:eastAsia="Calibri" w:hAnsi="Times New Roman" w:cs="Times New Roman"/>
          <w:color w:val="000000"/>
          <w:sz w:val="28"/>
          <w:szCs w:val="28"/>
        </w:rPr>
        <w:t>- цель 1: о</w:t>
      </w:r>
      <w:r w:rsidRPr="00535EDD">
        <w:rPr>
          <w:rFonts w:ascii="Times New Roman" w:eastAsia="Calibri" w:hAnsi="Times New Roman" w:cs="Times New Roman"/>
          <w:sz w:val="28"/>
          <w:szCs w:val="28"/>
        </w:rPr>
        <w:t>бъединение усилий органов местного самоуправления,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населения.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- цель 2: социальная поддержка и улучшение качества жизни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Показателями, характеризующими достижение целей программы, являются: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цель 1:</w:t>
      </w:r>
    </w:p>
    <w:p w:rsidR="00397AAD" w:rsidRPr="00960387" w:rsidRDefault="00397AAD" w:rsidP="009A02E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797F1C">
        <w:rPr>
          <w:rFonts w:ascii="Times New Roman" w:eastAsia="Calibri" w:hAnsi="Times New Roman" w:cs="Times New Roman"/>
          <w:sz w:val="28"/>
          <w:szCs w:val="28"/>
        </w:rPr>
        <w:t xml:space="preserve">количество созданных временных рабочих мест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ходе реализации </w:t>
      </w:r>
      <w:r w:rsidRPr="00797F1C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) численность граждан, трудоустроенных в ходе реализации Программы;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цель 2: </w:t>
      </w:r>
    </w:p>
    <w:p w:rsidR="00397AAD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количество детей-сирот и детей, оставшихся без попечения родителей, лиц из их числа, обеспеченных жильем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б) к</w:t>
      </w:r>
      <w:r w:rsidRPr="00FB10E3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улучшивших жилищные условия, состоящих на учете в качестве нуждающихся в жилых помещениях, предоставляемых по договорам социального найма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Default="00397AAD" w:rsidP="00397AAD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>Подпрограммы муниципальной программы</w:t>
      </w:r>
    </w:p>
    <w:p w:rsidR="00397AAD" w:rsidRPr="008B4250" w:rsidRDefault="00397AAD" w:rsidP="00397AA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2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подпрограммы, реализация мероприятий которых в комплексе призвана обеспечить достижение её целей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«Содействие временной занятости безработных и ищущих работу граждан» (далее - подпрограмма 1);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</w:t>
      </w:r>
      <w:r w:rsidR="00BA4D64" w:rsidRPr="008B4250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="00BA4D64" w:rsidRPr="00FB10E3">
        <w:rPr>
          <w:rFonts w:ascii="Times New Roman" w:eastAsia="Calibri" w:hAnsi="Times New Roman" w:cs="Times New Roman"/>
          <w:sz w:val="28"/>
          <w:szCs w:val="28"/>
        </w:rPr>
        <w:t xml:space="preserve"> жильем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отдельных категорий граждан» </w:t>
      </w:r>
      <w:r w:rsidRPr="008B4250">
        <w:rPr>
          <w:rFonts w:ascii="Times New Roman" w:eastAsia="Calibri" w:hAnsi="Times New Roman" w:cs="Times New Roman"/>
          <w:sz w:val="28"/>
          <w:szCs w:val="28"/>
        </w:rPr>
        <w:t>(далее - подпрограмма 2).</w:t>
      </w:r>
    </w:p>
    <w:p w:rsidR="00397AAD" w:rsidRPr="008B4250" w:rsidRDefault="00397AAD" w:rsidP="00397AAD">
      <w:pPr>
        <w:spacing w:after="0" w:line="240" w:lineRule="auto"/>
        <w:ind w:right="-460" w:firstLine="709"/>
        <w:jc w:val="center"/>
        <w:rPr>
          <w:rFonts w:ascii="Times New Roman" w:eastAsia="Calibri" w:hAnsi="Times New Roman" w:cs="Times New Roman"/>
          <w:color w:val="92D050"/>
          <w:sz w:val="28"/>
          <w:szCs w:val="28"/>
        </w:rPr>
      </w:pPr>
    </w:p>
    <w:p w:rsidR="00397AAD" w:rsidRPr="002F1559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559">
        <w:rPr>
          <w:rFonts w:ascii="Times New Roman" w:eastAsia="Calibri" w:hAnsi="Times New Roman" w:cs="Times New Roman"/>
          <w:b/>
          <w:sz w:val="28"/>
          <w:szCs w:val="28"/>
        </w:rPr>
        <w:t>3.1. Подпрограмма 1 «Содействие временной занятости безработных и ищущих работу граждан»</w:t>
      </w:r>
    </w:p>
    <w:p w:rsidR="00397AAD" w:rsidRPr="008B4250" w:rsidRDefault="00397AAD" w:rsidP="00397AAD">
      <w:pPr>
        <w:spacing w:after="0" w:line="240" w:lineRule="auto"/>
        <w:ind w:left="284" w:right="-4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numPr>
          <w:ilvl w:val="2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>Задачи подпрограммы</w:t>
      </w:r>
    </w:p>
    <w:p w:rsidR="00397AAD" w:rsidRPr="008B4250" w:rsidRDefault="00397AAD" w:rsidP="00397AAD">
      <w:pPr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Реализация подпрограммы </w:t>
      </w:r>
      <w:r w:rsidR="00BA4D64" w:rsidRPr="00274D8E">
        <w:rPr>
          <w:rFonts w:ascii="Times New Roman" w:eastAsia="Calibri" w:hAnsi="Times New Roman" w:cs="Times New Roman"/>
          <w:sz w:val="28"/>
          <w:szCs w:val="28"/>
        </w:rPr>
        <w:t>1 связана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 с решением следующих задач: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1) повышение уровня трудоустройства и трудовой мотивации безработных и ищущих работу граждан за счет создания временных рабочих мест;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 w:rsidR="0095513B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95513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рофилактика безнадзорности и правонарушений среди подростков, повышение их трудовой мотивации</w:t>
      </w: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Выделение задач и их соответствие цели 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обусловлено Законом Российской Федерации от 19.04.1991 № 1032-1 «О занятости населения в Российской Федерации» (далее - Закон о занятости населения).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r w:rsidRPr="00797F1C">
        <w:rPr>
          <w:rFonts w:ascii="Times New Roman" w:eastAsia="Calibri" w:hAnsi="Times New Roman" w:cs="Times New Roman"/>
          <w:sz w:val="28"/>
          <w:szCs w:val="28"/>
        </w:rPr>
        <w:t>овышение уровня трудоустройства и трудовой мотивации безработных и ищущих работу граждан за счет создания временных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тношение численности граждан, трудоустроенных на общественные работы, к численности </w:t>
      </w:r>
      <w:r w:rsidR="00BA4D64" w:rsidRPr="004F47DF">
        <w:rPr>
          <w:rFonts w:ascii="Times New Roman" w:eastAsia="Calibri" w:hAnsi="Times New Roman" w:cs="Times New Roman"/>
          <w:sz w:val="28"/>
          <w:szCs w:val="28"/>
        </w:rPr>
        <w:t>граждан,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 обратившихся в органы службы занятости в целях поиска подходящей работы в отчетном периоде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C5DE9" w:rsidRDefault="00397AAD" w:rsidP="008C5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</w:t>
      </w:r>
      <w:bookmarkStart w:id="2" w:name="_Hlk123122465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8359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bookmarkEnd w:id="2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</w:t>
      </w:r>
      <w:r w:rsidRPr="008C5DE9">
        <w:rPr>
          <w:rFonts w:ascii="Times New Roman" w:eastAsia="Calibri" w:hAnsi="Times New Roman" w:cs="Times New Roman"/>
          <w:sz w:val="28"/>
          <w:szCs w:val="28"/>
        </w:rPr>
        <w:t>помощью следующих показателей: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Количество проведенных мероприятий по созданию временных рабочих мест и организации временного трудоустройства, в том числе сезонного, несовершеннолетних граждан в возрасте от 14 до 18 лет в свободное от учебы время</w:t>
      </w:r>
      <w:r w:rsidR="00F720B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F1559" w:rsidRDefault="00397AAD" w:rsidP="00397AAD">
      <w:pPr>
        <w:numPr>
          <w:ilvl w:val="2"/>
          <w:numId w:val="2"/>
        </w:numPr>
        <w:tabs>
          <w:tab w:val="num" w:pos="1254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59">
        <w:rPr>
          <w:rFonts w:ascii="Times New Roman" w:eastAsia="Calibri" w:hAnsi="Times New Roman" w:cs="Times New Roman"/>
          <w:sz w:val="28"/>
          <w:szCs w:val="28"/>
        </w:rPr>
        <w:t>Мероприятия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уровня трудоустройства и трудовой мотивации безработных и ищущих работу граждан за счет создания временных рабочих </w:t>
      </w:r>
      <w:r w:rsidR="00BA4D64"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мест» планируется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посредством реализации следующих мероприятий: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мероприятие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общественных работ для безработных и ищущих работу граждан;</w:t>
      </w:r>
    </w:p>
    <w:p w:rsidR="00397AAD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ярмарок вакансий и учебных рабочих мест.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1 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трудоустройства и трудовой мотивации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 ч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исленность граждан, трудоустроенных на общественные работы;</w:t>
      </w:r>
    </w:p>
    <w:p w:rsidR="00397AAD" w:rsidRPr="008B4250" w:rsidRDefault="00A8359B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D6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2: </w:t>
      </w:r>
      <w:r w:rsid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DE9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проведенных ярмарок вакансий и учебных рабочих мест</w:t>
      </w:r>
      <w:r w:rsidR="00397AAD" w:rsidRP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Решение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планируется посредством реализации следующих мероприятий: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D60384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1: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отраслевых совещаний по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вопросу раннего формирования банка вакансий;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б) </w:t>
      </w:r>
      <w:r w:rsidR="00D60384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административное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мероприятие 2: 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Проведение встреч с подростками, состоящими на учете в КДН, ПНД и их родителями с целью выяснения планов по трудоустройству.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C5DE9" w:rsidRDefault="008C5DE9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отраслевых совещаний по вопросу раннего формирования банка вакансий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8C5DE9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встреч с подростками, состоящими на учете в КДН, ПНД и их родителями с целью выяснения планов по трудоустройству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Значения показателей для оценки мероприятий, необходимых для реализации Подпрограммы 1 по годам реализации программы в разрезе задач приведены в приложении 1.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Реализует мероприятия подпрограммы 1 Администрация Кашинского городского округа совместно с 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казённ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A02E6">
        <w:rPr>
          <w:rFonts w:ascii="Times New Roman" w:eastAsia="Calibri" w:hAnsi="Times New Roman" w:cs="Times New Roman"/>
          <w:sz w:val="28"/>
          <w:szCs w:val="28"/>
        </w:rPr>
        <w:t>ем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Тверской области «Центр занятости населения Кашинского городского </w:t>
      </w:r>
      <w:proofErr w:type="gramStart"/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округа»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другими участниками рынка труда в течение периода, на который они предусмотрены, путем достижения предусмотренных целей и задач, исходя из необходимости достижения плановых значений показателей.</w:t>
      </w:r>
    </w:p>
    <w:p w:rsidR="00397AAD" w:rsidRPr="008B4250" w:rsidRDefault="00397AAD" w:rsidP="00D60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1 является отдел образования Администрации Кашинского городского округа, Комитет по культуре, туризму, спорту и делам молодёжи Администрации Кашинского городского округа.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3.1.3. Объем финансовых ресурсов, необходимый для реализации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Общий объем бюджетных ассигнований, необходимый для  реализа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ции Подпрограммы 1 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520BB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40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по годам из средств бюджета Кашинского городского округа: 20</w:t>
      </w:r>
      <w:r w:rsidR="00707BF0">
        <w:rPr>
          <w:rFonts w:ascii="Times New Roman" w:eastAsia="Calibri" w:hAnsi="Times New Roman" w:cs="Times New Roman"/>
          <w:sz w:val="28"/>
          <w:szCs w:val="28"/>
        </w:rPr>
        <w:t>23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год – 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4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20BB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5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20BB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20BB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20BB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202</w:t>
      </w:r>
      <w:r w:rsidR="00707BF0">
        <w:rPr>
          <w:rFonts w:ascii="Times New Roman" w:eastAsia="Calibri" w:hAnsi="Times New Roman" w:cs="Times New Roman"/>
          <w:sz w:val="28"/>
          <w:szCs w:val="28"/>
        </w:rPr>
        <w:t>8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20BB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F0586E">
        <w:rPr>
          <w:rFonts w:ascii="Times New Roman" w:eastAsia="Calibri" w:hAnsi="Times New Roman" w:cs="Times New Roman"/>
          <w:sz w:val="28"/>
          <w:szCs w:val="28"/>
        </w:rPr>
        <w:t>тыс.</w:t>
      </w:r>
      <w:r w:rsidR="00707B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ассигнований, необходимый для реализации Подпрограммы 1 по годам реализации программы в разрезе задач, мероприятий и исполнителей приведен в приложении 1.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3.1.4. Механизм предоставления бюджетных ассигнований 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для выполнения мероприятий подпрограммы</w:t>
      </w:r>
    </w:p>
    <w:p w:rsidR="00397AAD" w:rsidRPr="008B4250" w:rsidRDefault="00397AAD" w:rsidP="00397A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>Финансирование мероприятий подпрограммы 1 осуществляется за счет средств бюджета</w:t>
      </w:r>
      <w:r w:rsidR="005636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Кашинского городского округа</w:t>
      </w: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со статьей 7.2. Закона от 19.04.1991 №1032-1 «О занятости населения в Российской Федерации».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программных мероприятий включает в себя предоставление субсидий работодателям, участникам подпрограммы 1, на выплату заработной платы за выполненную работу безработным гражданам, участвовавшим в оплачиваемых общественных работах и отчисления во внебюджетные фонды. 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 перечисляются с лицевого счета </w:t>
      </w:r>
      <w:proofErr w:type="gramStart"/>
      <w:r w:rsidRPr="008B4250">
        <w:rPr>
          <w:rFonts w:ascii="Times New Roman" w:eastAsia="Calibri" w:hAnsi="Times New Roman" w:cs="Times New Roman"/>
          <w:sz w:val="28"/>
          <w:szCs w:val="28"/>
        </w:rPr>
        <w:t>Администрации  Кашинского</w:t>
      </w:r>
      <w:proofErr w:type="gramEnd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 бюджетных ассигнований,  установленных на соответствующий  год данной программой. 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Ответственность за целевое использование бюджетных средств несут: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 при субсидировании сторонних организаций - главный бухгалтер, заведующий отделом бухгалтерского учёта и отчетности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при субсидировании подведомственных организаций - заведующие отраслевых структурных подразделений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имеющие статус юридического лица и являющиеся распорядителями и получателями бюджетных средств.  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F0404E" w:rsidRDefault="00397AAD" w:rsidP="00397AAD">
      <w:pPr>
        <w:pStyle w:val="a7"/>
        <w:numPr>
          <w:ilvl w:val="1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04E">
        <w:rPr>
          <w:rFonts w:ascii="Times New Roman" w:eastAsia="Calibri" w:hAnsi="Times New Roman" w:cs="Times New Roman"/>
          <w:b/>
          <w:sz w:val="28"/>
          <w:szCs w:val="28"/>
        </w:rPr>
        <w:t>Подпрограмма 2 «Обеспечение</w:t>
      </w:r>
      <w:r w:rsidRPr="00F0404E">
        <w:t xml:space="preserve"> </w:t>
      </w:r>
      <w:r w:rsidRPr="00F0404E">
        <w:rPr>
          <w:rFonts w:ascii="Times New Roman" w:eastAsia="Calibri" w:hAnsi="Times New Roman" w:cs="Times New Roman"/>
          <w:b/>
          <w:sz w:val="28"/>
          <w:szCs w:val="28"/>
        </w:rPr>
        <w:t>жильем отдельных категорий граждан»</w:t>
      </w:r>
    </w:p>
    <w:p w:rsidR="00397AAD" w:rsidRPr="00F0404E" w:rsidRDefault="00397AAD" w:rsidP="00397AAD">
      <w:pPr>
        <w:pStyle w:val="a7"/>
        <w:spacing w:after="0" w:line="240" w:lineRule="auto"/>
        <w:ind w:left="152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404E">
        <w:rPr>
          <w:rFonts w:ascii="Times New Roman" w:eastAsia="Calibri" w:hAnsi="Times New Roman" w:cs="Times New Roman"/>
          <w:sz w:val="28"/>
          <w:szCs w:val="28"/>
        </w:rPr>
        <w:t>3.2.1. Задачи подпрограммы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Реализация подпрограммы 2 связана с решением следующих задач: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задача 1 «Приобретение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числа»; </w:t>
      </w:r>
    </w:p>
    <w:p w:rsidR="00397AAD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задача 3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оценивается с помощью следующего показателя: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количество приобретенных и оформленных в муниципальную собственность жилых помещений специализированного жилищного фонда для детей-сирот, детей, оставшихся без попечения, и лиц из их числа;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</w:t>
      </w: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найма специализированного жилого помещения» оценивается с помощью следующего показателя: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количество заключенных договоров найма специализированного жилого </w:t>
      </w:r>
      <w:proofErr w:type="gramStart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помещения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переданных жилых помещений </w:t>
      </w:r>
      <w:r w:rsidRPr="008B4250">
        <w:rPr>
          <w:rFonts w:ascii="Times New Roman" w:eastAsia="Calibri" w:hAnsi="Times New Roman" w:cs="Times New Roman"/>
          <w:sz w:val="28"/>
          <w:szCs w:val="28"/>
        </w:rPr>
        <w:t>дет</w:t>
      </w:r>
      <w:r>
        <w:rPr>
          <w:rFonts w:ascii="Times New Roman" w:eastAsia="Calibri" w:hAnsi="Times New Roman" w:cs="Times New Roman"/>
          <w:sz w:val="28"/>
          <w:szCs w:val="28"/>
        </w:rPr>
        <w:t>ям</w:t>
      </w:r>
      <w:r w:rsidRPr="008B4250">
        <w:rPr>
          <w:rFonts w:ascii="Times New Roman" w:eastAsia="Calibri" w:hAnsi="Times New Roman" w:cs="Times New Roman"/>
          <w:sz w:val="28"/>
          <w:szCs w:val="28"/>
        </w:rPr>
        <w:t>-сиротам</w:t>
      </w:r>
      <w:r>
        <w:rPr>
          <w:rFonts w:ascii="Times New Roman" w:eastAsia="Calibri" w:hAnsi="Times New Roman" w:cs="Times New Roman"/>
          <w:sz w:val="28"/>
          <w:szCs w:val="28"/>
        </w:rPr>
        <w:t>, детям, оставшихся без попечения родителей и лицам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из их числа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следующего показателя: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к</w:t>
      </w:r>
      <w:r w:rsidRPr="00C06062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</w:t>
      </w:r>
      <w:r>
        <w:rPr>
          <w:rFonts w:ascii="Times New Roman" w:eastAsia="Calibri" w:hAnsi="Times New Roman" w:cs="Times New Roman"/>
          <w:sz w:val="28"/>
          <w:szCs w:val="28"/>
        </w:rPr>
        <w:t>лучшивших свои жилищные условия.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Значение показателей задач подпрограммы 2 по годам реализации муниципальной программы приведены в приложении 1.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3.2.2. Мероприятия подпрограммы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осуществляется посредством выполнения следующих административных мероприятий: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административное мероприятие «Проведение открытого аукциона в электронной форме»;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б) административное мероприятие «Регистрация муниципального контракта в Управлении федеральной службы государственной регистрации, кадастра и </w:t>
      </w:r>
      <w:proofErr w:type="gramStart"/>
      <w:r w:rsidRPr="008B4250">
        <w:rPr>
          <w:rFonts w:ascii="Times New Roman" w:eastAsia="Calibri" w:hAnsi="Times New Roman" w:cs="Times New Roman"/>
          <w:sz w:val="28"/>
          <w:szCs w:val="28"/>
        </w:rPr>
        <w:t>картографии Тверской области</w:t>
      </w:r>
      <w:proofErr w:type="gramEnd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и оформление жилого помещения в муниципальную собственность»;</w:t>
      </w:r>
    </w:p>
    <w:p w:rsidR="00397AAD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в) 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 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административное мероприятие «Заключение договоров найма специализированных жилых помещений с детьми-сиротами, детьми, оставшимися без попечения родителей, и лицами из их числа»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«Передача жилого помещения по договору найма детям – сиротам, детям, оставшимся без попечения родителей, и лицам из их числа»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Постановка граждан на учет в качестве нуждающихся в жилых помещений, признанных в устан</w:t>
      </w:r>
      <w:r>
        <w:rPr>
          <w:rFonts w:ascii="Times New Roman" w:eastAsia="Calibri" w:hAnsi="Times New Roman" w:cs="Times New Roman"/>
          <w:sz w:val="28"/>
          <w:szCs w:val="28"/>
        </w:rPr>
        <w:t>овленном порядке малоимущими»;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>за счет местного бюджета»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5E73" w:rsidRDefault="00BD5E73" w:rsidP="00BD5E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за счет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областного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  бюджета</w:t>
      </w:r>
      <w:proofErr w:type="gramEnd"/>
      <w:r w:rsidRPr="004B570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proofErr w:type="gramStart"/>
      <w:r w:rsidRPr="00C06062">
        <w:rPr>
          <w:rFonts w:ascii="Times New Roman" w:eastAsia="Calibri" w:hAnsi="Times New Roman" w:cs="Times New Roman"/>
          <w:sz w:val="28"/>
          <w:szCs w:val="28"/>
        </w:rPr>
        <w:t>Предоставление  жилых</w:t>
      </w:r>
      <w:proofErr w:type="gramEnd"/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помещений по договору социального найма малоимущим многод</w:t>
      </w:r>
      <w:r>
        <w:rPr>
          <w:rFonts w:ascii="Times New Roman" w:eastAsia="Calibri" w:hAnsi="Times New Roman" w:cs="Times New Roman"/>
          <w:sz w:val="28"/>
          <w:szCs w:val="28"/>
        </w:rPr>
        <w:t>етным семьям».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Выполнение каждого мероприятия и административного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397AAD" w:rsidRPr="008B4250" w:rsidRDefault="00397AAD" w:rsidP="00397AAD">
      <w:pPr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2 является Ко</w:t>
      </w:r>
      <w:r>
        <w:rPr>
          <w:rFonts w:ascii="Times New Roman" w:eastAsia="Calibri" w:hAnsi="Times New Roman" w:cs="Times New Roman"/>
          <w:sz w:val="28"/>
          <w:szCs w:val="28"/>
        </w:rPr>
        <w:t>митет по управлению имуществом 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3.2.3. Объем финансовых ресурсов, необходимый для реализации подпрограммы 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финансирования, выделенный на реализацию подпрограммы 2 за счет средств из областного бюджета Тверской области и бюджета Кашинского городского округа местного бюджета, составляет</w:t>
      </w:r>
      <w:r w:rsidR="00ED615A">
        <w:rPr>
          <w:rFonts w:ascii="Times New Roman" w:hAnsi="Times New Roman"/>
          <w:sz w:val="28"/>
        </w:rPr>
        <w:t xml:space="preserve"> </w:t>
      </w:r>
      <w:r w:rsidR="007B30C3">
        <w:rPr>
          <w:rFonts w:ascii="Times New Roman" w:hAnsi="Times New Roman"/>
          <w:sz w:val="28"/>
        </w:rPr>
        <w:t>2</w:t>
      </w:r>
      <w:r w:rsidR="0096058E">
        <w:rPr>
          <w:rFonts w:ascii="Times New Roman" w:hAnsi="Times New Roman"/>
          <w:sz w:val="28"/>
        </w:rPr>
        <w:t>4818,</w:t>
      </w:r>
      <w:r w:rsidR="007A7676">
        <w:rPr>
          <w:rFonts w:ascii="Times New Roman" w:hAnsi="Times New Roman"/>
          <w:sz w:val="28"/>
        </w:rPr>
        <w:t>6</w:t>
      </w:r>
      <w:r w:rsidR="00ED615A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тыс. руб.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средств, выделенный на реализацию подпрограммы 2 по годам реализации муниципальной программы в разрезе задач приведен в таблице 2.</w:t>
      </w:r>
    </w:p>
    <w:p w:rsidR="002A3DBE" w:rsidRDefault="002A3DBE" w:rsidP="002A3DBE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sz w:val="28"/>
        </w:rPr>
        <w:t>Табл.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851"/>
        <w:gridCol w:w="850"/>
        <w:gridCol w:w="851"/>
        <w:gridCol w:w="850"/>
      </w:tblGrid>
      <w:tr w:rsidR="002A3DBE" w:rsidTr="003B58AD">
        <w:trPr>
          <w:trHeight w:val="42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Задача подпрограммы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A3DBE" w:rsidTr="003B58AD">
        <w:trPr>
          <w:trHeight w:val="92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2027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2028 год</w:t>
            </w:r>
          </w:p>
        </w:tc>
      </w:tr>
      <w:tr w:rsidR="002A3DBE" w:rsidTr="003B58AD">
        <w:trPr>
          <w:trHeight w:val="5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</w:t>
            </w:r>
            <w:r>
              <w:rPr>
                <w:rFonts w:ascii="Times New Roman" w:hAnsi="Times New Roman"/>
                <w:sz w:val="20"/>
              </w:rPr>
              <w:t>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 для детей-сирот, детей, оставшихся без попечения, и лиц из их числа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5438C6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700B71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5438C6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</w:t>
            </w:r>
            <w:r w:rsidR="0015638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5438C6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5438C6" w:rsidP="005438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3381,5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Задача 3 «Содействие в решении жилищных проблем малоимущих многодетных семей»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E6DCC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2178,</w:t>
            </w:r>
            <w:r w:rsidR="00D365DE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6058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5645</w:t>
            </w:r>
            <w:r w:rsidR="002E366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5438C6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355,</w:t>
            </w:r>
            <w:r w:rsidR="00700B71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15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E6DCC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6982,</w:t>
            </w:r>
            <w:r w:rsidR="00D365DE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96058E" w:rsidP="003B58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700B71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700B71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700B71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700B71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3381,5</w:t>
            </w:r>
          </w:p>
        </w:tc>
      </w:tr>
    </w:tbl>
    <w:p w:rsidR="002A3DBE" w:rsidRDefault="002A3DBE" w:rsidP="002A3DBE">
      <w:pPr>
        <w:spacing w:after="0" w:line="240" w:lineRule="auto"/>
        <w:ind w:right="38"/>
        <w:jc w:val="center"/>
        <w:rPr>
          <w:rFonts w:ascii="Times New Roman" w:hAnsi="Times New Roman"/>
          <w:sz w:val="28"/>
        </w:rPr>
      </w:pPr>
    </w:p>
    <w:p w:rsidR="00397AAD" w:rsidRPr="008B4250" w:rsidRDefault="00397AAD" w:rsidP="00397AAD">
      <w:pPr>
        <w:spacing w:after="0" w:line="240" w:lineRule="auto"/>
        <w:ind w:right="-460" w:firstLine="4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3.2.4. Механизм предоставления бюджетных ассигнований для выполнения мероприятий подпрограммы </w:t>
      </w:r>
    </w:p>
    <w:p w:rsidR="00397AAD" w:rsidRPr="008B4250" w:rsidRDefault="00397AAD" w:rsidP="00397AAD">
      <w:pPr>
        <w:spacing w:after="0" w:line="240" w:lineRule="auto"/>
        <w:ind w:right="38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 для выполнения мероприятий для решения задач подпрограммы 2, представляются в соответствии с Федеральным </w:t>
      </w:r>
      <w:r>
        <w:rPr>
          <w:rFonts w:ascii="Times New Roman" w:eastAsia="Calibri" w:hAnsi="Times New Roman" w:cs="Times New Roman"/>
          <w:sz w:val="28"/>
          <w:szCs w:val="28"/>
        </w:rPr>
        <w:t>законом от  05.04.2013 № 44-ФЗ «</w:t>
      </w:r>
      <w:r w:rsidRPr="008B4250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63604">
        <w:rPr>
          <w:rFonts w:ascii="Times New Roman" w:eastAsia="Calibri" w:hAnsi="Times New Roman" w:cs="Times New Roman"/>
          <w:sz w:val="28"/>
          <w:szCs w:val="28"/>
        </w:rPr>
        <w:t>з</w:t>
      </w:r>
      <w:r w:rsidRPr="008B4250">
        <w:rPr>
          <w:rFonts w:ascii="Times New Roman" w:eastAsia="Calibri" w:hAnsi="Times New Roman" w:cs="Times New Roman"/>
          <w:sz w:val="28"/>
          <w:szCs w:val="28"/>
        </w:rPr>
        <w:t>аконом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родителей»,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 </w:t>
      </w:r>
      <w:r w:rsidRPr="008B425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авшихся без попечения родителей», а также с постановлением Правительства Тверской области от </w:t>
      </w:r>
      <w:r w:rsidR="000C71A3">
        <w:rPr>
          <w:rFonts w:ascii="Times New Roman" w:eastAsia="Calibri" w:hAnsi="Times New Roman" w:cs="Times New Roman"/>
          <w:sz w:val="28"/>
          <w:szCs w:val="28"/>
        </w:rPr>
        <w:t>15</w:t>
      </w:r>
      <w:r>
        <w:rPr>
          <w:rFonts w:ascii="Times New Roman" w:eastAsia="Calibri" w:hAnsi="Times New Roman" w:cs="Times New Roman"/>
          <w:sz w:val="28"/>
          <w:szCs w:val="28"/>
        </w:rPr>
        <w:t>.02.202</w:t>
      </w:r>
      <w:r w:rsidR="000C71A3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C71A3">
        <w:rPr>
          <w:rFonts w:ascii="Times New Roman" w:eastAsia="Calibri" w:hAnsi="Times New Roman" w:cs="Times New Roman"/>
          <w:sz w:val="28"/>
          <w:szCs w:val="28"/>
        </w:rPr>
        <w:t> 51</w:t>
      </w:r>
      <w:r>
        <w:rPr>
          <w:rFonts w:ascii="Times New Roman" w:eastAsia="Calibri" w:hAnsi="Times New Roman" w:cs="Times New Roman"/>
          <w:sz w:val="28"/>
          <w:szCs w:val="28"/>
        </w:rPr>
        <w:t>-пп «О государственной программе Тверской области «Развитие демографической и семейной политики Тверской области».</w:t>
      </w:r>
    </w:p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9A6F83" w:rsidRDefault="009A6F83"/>
    <w:sectPr w:rsidR="009A6F83" w:rsidSect="002932A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20D5" w:rsidRDefault="001420D5">
      <w:pPr>
        <w:spacing w:after="0" w:line="240" w:lineRule="auto"/>
      </w:pPr>
      <w:r>
        <w:separator/>
      </w:r>
    </w:p>
  </w:endnote>
  <w:endnote w:type="continuationSeparator" w:id="0">
    <w:p w:rsidR="001420D5" w:rsidRDefault="0014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20D5" w:rsidRDefault="001420D5">
      <w:pPr>
        <w:spacing w:after="0" w:line="240" w:lineRule="auto"/>
      </w:pPr>
      <w:r>
        <w:separator/>
      </w:r>
    </w:p>
  </w:footnote>
  <w:footnote w:type="continuationSeparator" w:id="0">
    <w:p w:rsidR="001420D5" w:rsidRDefault="0014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Default="0094379E" w:rsidP="002932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586E" w:rsidRDefault="003773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Pr="009A02E6" w:rsidRDefault="0094379E" w:rsidP="002932A0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9A02E6">
      <w:rPr>
        <w:rStyle w:val="a5"/>
        <w:rFonts w:ascii="Times New Roman" w:hAnsi="Times New Roman" w:cs="Times New Roman"/>
      </w:rPr>
      <w:fldChar w:fldCharType="begin"/>
    </w:r>
    <w:r w:rsidRPr="009A02E6">
      <w:rPr>
        <w:rStyle w:val="a5"/>
        <w:rFonts w:ascii="Times New Roman" w:hAnsi="Times New Roman" w:cs="Times New Roman"/>
      </w:rPr>
      <w:instrText xml:space="preserve">PAGE  </w:instrText>
    </w:r>
    <w:r w:rsidRPr="009A02E6">
      <w:rPr>
        <w:rStyle w:val="a5"/>
        <w:rFonts w:ascii="Times New Roman" w:hAnsi="Times New Roman" w:cs="Times New Roman"/>
      </w:rPr>
      <w:fldChar w:fldCharType="separate"/>
    </w:r>
    <w:r w:rsidRPr="009A02E6">
      <w:rPr>
        <w:rStyle w:val="a5"/>
        <w:rFonts w:ascii="Times New Roman" w:hAnsi="Times New Roman" w:cs="Times New Roman"/>
        <w:noProof/>
      </w:rPr>
      <w:t>6</w:t>
    </w:r>
    <w:r w:rsidRPr="009A02E6">
      <w:rPr>
        <w:rStyle w:val="a5"/>
        <w:rFonts w:ascii="Times New Roman" w:hAnsi="Times New Roman" w:cs="Times New Roman"/>
      </w:rPr>
      <w:fldChar w:fldCharType="end"/>
    </w:r>
  </w:p>
  <w:p w:rsidR="00F0586E" w:rsidRDefault="003773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16F5F"/>
    <w:multiLevelType w:val="hybridMultilevel"/>
    <w:tmpl w:val="20A8316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52361F52"/>
    <w:multiLevelType w:val="hybridMultilevel"/>
    <w:tmpl w:val="A94442EE"/>
    <w:lvl w:ilvl="0" w:tplc="8422B2D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5CE92E4E"/>
    <w:multiLevelType w:val="multilevel"/>
    <w:tmpl w:val="CC964824"/>
    <w:lvl w:ilvl="0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AD"/>
    <w:rsid w:val="000243F7"/>
    <w:rsid w:val="0007573C"/>
    <w:rsid w:val="000B7C89"/>
    <w:rsid w:val="000C71A3"/>
    <w:rsid w:val="000F6103"/>
    <w:rsid w:val="001420D5"/>
    <w:rsid w:val="00156389"/>
    <w:rsid w:val="00176C76"/>
    <w:rsid w:val="001772E1"/>
    <w:rsid w:val="00186992"/>
    <w:rsid w:val="0019045F"/>
    <w:rsid w:val="001C28A2"/>
    <w:rsid w:val="001E18F0"/>
    <w:rsid w:val="001F65E1"/>
    <w:rsid w:val="00216BF1"/>
    <w:rsid w:val="002409D0"/>
    <w:rsid w:val="00270682"/>
    <w:rsid w:val="00274D8E"/>
    <w:rsid w:val="00282D6A"/>
    <w:rsid w:val="00287878"/>
    <w:rsid w:val="002953EE"/>
    <w:rsid w:val="002A3DBE"/>
    <w:rsid w:val="002D159F"/>
    <w:rsid w:val="002D7ACE"/>
    <w:rsid w:val="002E3667"/>
    <w:rsid w:val="00325FC1"/>
    <w:rsid w:val="003435EC"/>
    <w:rsid w:val="00347B33"/>
    <w:rsid w:val="003674A4"/>
    <w:rsid w:val="00377374"/>
    <w:rsid w:val="00397AAD"/>
    <w:rsid w:val="003A1642"/>
    <w:rsid w:val="003A1A46"/>
    <w:rsid w:val="003D2F16"/>
    <w:rsid w:val="003E7FCC"/>
    <w:rsid w:val="0042586C"/>
    <w:rsid w:val="004326F6"/>
    <w:rsid w:val="00434281"/>
    <w:rsid w:val="00475526"/>
    <w:rsid w:val="00520BB9"/>
    <w:rsid w:val="00535EDD"/>
    <w:rsid w:val="005438C6"/>
    <w:rsid w:val="0055360A"/>
    <w:rsid w:val="00563604"/>
    <w:rsid w:val="00566D47"/>
    <w:rsid w:val="0060320F"/>
    <w:rsid w:val="00624C04"/>
    <w:rsid w:val="0065260C"/>
    <w:rsid w:val="006627B0"/>
    <w:rsid w:val="006938BF"/>
    <w:rsid w:val="006B285C"/>
    <w:rsid w:val="006D7029"/>
    <w:rsid w:val="006F3109"/>
    <w:rsid w:val="006F4020"/>
    <w:rsid w:val="00700B71"/>
    <w:rsid w:val="00707BF0"/>
    <w:rsid w:val="0071225A"/>
    <w:rsid w:val="00726D27"/>
    <w:rsid w:val="007A7676"/>
    <w:rsid w:val="007A7E8A"/>
    <w:rsid w:val="007B30C3"/>
    <w:rsid w:val="007B6E36"/>
    <w:rsid w:val="00814BCD"/>
    <w:rsid w:val="00830F27"/>
    <w:rsid w:val="00864B14"/>
    <w:rsid w:val="008715AE"/>
    <w:rsid w:val="008763CC"/>
    <w:rsid w:val="00895EFF"/>
    <w:rsid w:val="008C5DE9"/>
    <w:rsid w:val="008F365F"/>
    <w:rsid w:val="008F66D0"/>
    <w:rsid w:val="009019E2"/>
    <w:rsid w:val="00935139"/>
    <w:rsid w:val="0094379E"/>
    <w:rsid w:val="00953A63"/>
    <w:rsid w:val="0095513B"/>
    <w:rsid w:val="0096058E"/>
    <w:rsid w:val="00970198"/>
    <w:rsid w:val="00971D5D"/>
    <w:rsid w:val="0098461D"/>
    <w:rsid w:val="00986759"/>
    <w:rsid w:val="009A02E6"/>
    <w:rsid w:val="009A4237"/>
    <w:rsid w:val="009A6F83"/>
    <w:rsid w:val="009E6DCC"/>
    <w:rsid w:val="00A63262"/>
    <w:rsid w:val="00A718B5"/>
    <w:rsid w:val="00A76204"/>
    <w:rsid w:val="00A8359B"/>
    <w:rsid w:val="00AB459F"/>
    <w:rsid w:val="00AD47DF"/>
    <w:rsid w:val="00AD7BB9"/>
    <w:rsid w:val="00B632CE"/>
    <w:rsid w:val="00B86EDF"/>
    <w:rsid w:val="00BA4D64"/>
    <w:rsid w:val="00BD5E73"/>
    <w:rsid w:val="00BF3DC1"/>
    <w:rsid w:val="00C46A93"/>
    <w:rsid w:val="00C74F86"/>
    <w:rsid w:val="00CA1319"/>
    <w:rsid w:val="00CC745D"/>
    <w:rsid w:val="00D21CD2"/>
    <w:rsid w:val="00D34AD7"/>
    <w:rsid w:val="00D365DE"/>
    <w:rsid w:val="00D423E0"/>
    <w:rsid w:val="00D60384"/>
    <w:rsid w:val="00D65EC6"/>
    <w:rsid w:val="00D82DB2"/>
    <w:rsid w:val="00D95E6C"/>
    <w:rsid w:val="00DB43FE"/>
    <w:rsid w:val="00E22A28"/>
    <w:rsid w:val="00E54A15"/>
    <w:rsid w:val="00ED615A"/>
    <w:rsid w:val="00F0404E"/>
    <w:rsid w:val="00F30FD3"/>
    <w:rsid w:val="00F500B0"/>
    <w:rsid w:val="00F720B8"/>
    <w:rsid w:val="00F72B8B"/>
    <w:rsid w:val="00F77AD3"/>
    <w:rsid w:val="00F97C7F"/>
    <w:rsid w:val="00FA6B56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4D78"/>
  <w15:chartTrackingRefBased/>
  <w15:docId w15:val="{CFA3C192-8752-4067-B013-DC7DE323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A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AAD"/>
  </w:style>
  <w:style w:type="character" w:styleId="a5">
    <w:name w:val="page number"/>
    <w:basedOn w:val="a0"/>
    <w:rsid w:val="00397AAD"/>
  </w:style>
  <w:style w:type="paragraph" w:styleId="a6">
    <w:name w:val="No Spacing"/>
    <w:uiPriority w:val="1"/>
    <w:qFormat/>
    <w:rsid w:val="00397AA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97AAD"/>
    <w:pPr>
      <w:ind w:left="720"/>
      <w:contextualSpacing/>
    </w:pPr>
  </w:style>
  <w:style w:type="paragraph" w:customStyle="1" w:styleId="1">
    <w:name w:val="Без интервала1"/>
    <w:link w:val="NoSpacingChar"/>
    <w:rsid w:val="00397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"/>
    <w:locked/>
    <w:rsid w:val="00397A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6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389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384BF-DB5D-49F8-9B3A-A9B69D13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14</Pages>
  <Words>4322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Имущество-4</cp:lastModifiedBy>
  <cp:revision>41</cp:revision>
  <cp:lastPrinted>2024-04-17T12:11:00Z</cp:lastPrinted>
  <dcterms:created xsi:type="dcterms:W3CDTF">2022-06-10T07:55:00Z</dcterms:created>
  <dcterms:modified xsi:type="dcterms:W3CDTF">2024-04-17T12:13:00Z</dcterms:modified>
</cp:coreProperties>
</file>