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05D6" w:rsidRDefault="002A6071" w:rsidP="00F905D6">
      <w:pPr>
        <w:spacing w:after="0"/>
        <w:ind w:left="6371" w:firstLine="709"/>
        <w:jc w:val="right"/>
      </w:pPr>
      <w:r>
        <w:t xml:space="preserve">             </w:t>
      </w:r>
    </w:p>
    <w:p w:rsidR="00F905D6" w:rsidRDefault="00F905D6" w:rsidP="00F905D6">
      <w:pPr>
        <w:spacing w:after="0"/>
        <w:ind w:left="6371" w:firstLine="709"/>
        <w:jc w:val="right"/>
        <w:rPr>
          <w:rFonts w:ascii="Times New Roman" w:eastAsia="Calibri" w:hAnsi="Times New Roman"/>
          <w:sz w:val="28"/>
          <w:szCs w:val="28"/>
        </w:rPr>
      </w:pPr>
      <w:r w:rsidRPr="003C143C">
        <w:rPr>
          <w:rFonts w:ascii="Times New Roman" w:eastAsia="Calibri" w:hAnsi="Times New Roman"/>
          <w:sz w:val="28"/>
          <w:szCs w:val="28"/>
        </w:rPr>
        <w:t xml:space="preserve">Приложение </w:t>
      </w:r>
    </w:p>
    <w:p w:rsidR="00F905D6" w:rsidRDefault="00F905D6" w:rsidP="00F905D6">
      <w:pPr>
        <w:tabs>
          <w:tab w:val="left" w:pos="1985"/>
        </w:tabs>
        <w:spacing w:after="0"/>
        <w:jc w:val="right"/>
        <w:rPr>
          <w:rFonts w:ascii="Times New Roman" w:eastAsia="Calibri" w:hAnsi="Times New Roman"/>
          <w:sz w:val="28"/>
          <w:szCs w:val="28"/>
        </w:rPr>
      </w:pPr>
      <w:r w:rsidRPr="003C143C">
        <w:rPr>
          <w:rFonts w:ascii="Times New Roman" w:eastAsia="Calibri" w:hAnsi="Times New Roman"/>
          <w:sz w:val="28"/>
          <w:szCs w:val="28"/>
        </w:rPr>
        <w:t xml:space="preserve">к постановлению Администрации </w:t>
      </w:r>
    </w:p>
    <w:p w:rsidR="00F905D6" w:rsidRDefault="00F905D6" w:rsidP="00F905D6">
      <w:pPr>
        <w:spacing w:after="0"/>
        <w:jc w:val="right"/>
        <w:rPr>
          <w:rFonts w:ascii="Times New Roman" w:eastAsia="Calibri" w:hAnsi="Times New Roman"/>
          <w:sz w:val="28"/>
          <w:szCs w:val="28"/>
        </w:rPr>
      </w:pPr>
      <w:r w:rsidRPr="003C143C">
        <w:rPr>
          <w:rFonts w:ascii="Times New Roman" w:eastAsia="Calibri" w:hAnsi="Times New Roman"/>
          <w:sz w:val="28"/>
          <w:szCs w:val="28"/>
        </w:rPr>
        <w:t xml:space="preserve">Кашинского </w:t>
      </w:r>
      <w:r>
        <w:rPr>
          <w:rFonts w:ascii="Times New Roman" w:eastAsia="Calibri" w:hAnsi="Times New Roman"/>
          <w:sz w:val="28"/>
          <w:szCs w:val="28"/>
        </w:rPr>
        <w:t>городского округа</w:t>
      </w:r>
      <w:r w:rsidRPr="003C143C">
        <w:rPr>
          <w:rFonts w:ascii="Times New Roman" w:eastAsia="Calibri" w:hAnsi="Times New Roman"/>
          <w:sz w:val="28"/>
          <w:szCs w:val="28"/>
        </w:rPr>
        <w:t xml:space="preserve"> </w:t>
      </w:r>
    </w:p>
    <w:p w:rsidR="00F905D6" w:rsidRDefault="00F905D6" w:rsidP="00F905D6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</w:t>
      </w:r>
      <w:r w:rsidRPr="00397AAD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03.10.2023 № 62</w:t>
      </w:r>
      <w:r>
        <w:rPr>
          <w:rFonts w:ascii="Times New Roman" w:eastAsia="Calibri" w:hAnsi="Times New Roman"/>
          <w:sz w:val="28"/>
          <w:szCs w:val="28"/>
        </w:rPr>
        <w:t>4</w:t>
      </w:r>
    </w:p>
    <w:p w:rsidR="00DE41F5" w:rsidRDefault="002A6071" w:rsidP="00F905D6">
      <w:pPr>
        <w:spacing w:after="0" w:line="240" w:lineRule="auto"/>
        <w:rPr>
          <w:b/>
        </w:rPr>
      </w:pPr>
      <w:r>
        <w:t xml:space="preserve">                                                       </w:t>
      </w:r>
      <w:r w:rsidR="00B2476E">
        <w:t xml:space="preserve">       </w:t>
      </w:r>
    </w:p>
    <w:p w:rsidR="00A83D8C" w:rsidRPr="00E868F4" w:rsidRDefault="002A6071" w:rsidP="00B2476E">
      <w:pPr>
        <w:pStyle w:val="2"/>
        <w:spacing w:before="0" w:after="0" w:line="240" w:lineRule="auto"/>
        <w:jc w:val="right"/>
        <w:rPr>
          <w:b w:val="0"/>
        </w:rPr>
      </w:pPr>
      <w:r w:rsidRPr="00E868F4">
        <w:rPr>
          <w:b w:val="0"/>
        </w:rPr>
        <w:t xml:space="preserve">Утверждена </w:t>
      </w:r>
    </w:p>
    <w:p w:rsidR="00A83D8C" w:rsidRDefault="002A6071" w:rsidP="00B2476E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Администрации </w:t>
      </w:r>
    </w:p>
    <w:p w:rsidR="00A83D8C" w:rsidRDefault="002A6071" w:rsidP="00B2476E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 городского округа</w:t>
      </w:r>
    </w:p>
    <w:p w:rsidR="00A83D8C" w:rsidRDefault="002A6071" w:rsidP="00B2476E">
      <w:pPr>
        <w:spacing w:after="0" w:line="240" w:lineRule="auto"/>
        <w:ind w:firstLine="709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</w:t>
      </w:r>
      <w:r w:rsidR="007A33FE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 w:rsidR="007A33FE">
        <w:rPr>
          <w:rFonts w:ascii="Times New Roman" w:hAnsi="Times New Roman"/>
          <w:sz w:val="28"/>
          <w:u w:val="single"/>
        </w:rPr>
        <w:t xml:space="preserve"> 27.12.2022 </w:t>
      </w:r>
      <w:r>
        <w:rPr>
          <w:rFonts w:ascii="Times New Roman" w:hAnsi="Times New Roman"/>
          <w:sz w:val="28"/>
        </w:rPr>
        <w:t>№</w:t>
      </w:r>
      <w:r w:rsidR="007A33FE">
        <w:rPr>
          <w:rFonts w:ascii="Times New Roman" w:hAnsi="Times New Roman"/>
          <w:sz w:val="28"/>
        </w:rPr>
        <w:t xml:space="preserve"> </w:t>
      </w:r>
      <w:r w:rsidR="007A33FE" w:rsidRPr="007A33FE">
        <w:rPr>
          <w:rFonts w:ascii="Times New Roman" w:hAnsi="Times New Roman"/>
          <w:sz w:val="28"/>
          <w:u w:val="single"/>
        </w:rPr>
        <w:t>993</w:t>
      </w:r>
      <w:r w:rsidR="004B68F7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       </w:t>
      </w:r>
    </w:p>
    <w:p w:rsidR="00A83D8C" w:rsidRDefault="00A83D8C">
      <w:pPr>
        <w:spacing w:after="0"/>
        <w:ind w:left="6371" w:firstLine="709"/>
        <w:jc w:val="both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Cambria" w:hAnsi="Cambria"/>
          <w:b/>
          <w:sz w:val="28"/>
        </w:rPr>
      </w:pPr>
    </w:p>
    <w:p w:rsidR="00A83D8C" w:rsidRDefault="00A83D8C">
      <w:pPr>
        <w:spacing w:after="0" w:line="240" w:lineRule="auto"/>
        <w:outlineLvl w:val="0"/>
        <w:rPr>
          <w:rFonts w:ascii="Cambria" w:hAnsi="Cambria"/>
          <w:b/>
          <w:sz w:val="28"/>
        </w:rPr>
      </w:pPr>
    </w:p>
    <w:p w:rsidR="00A83D8C" w:rsidRDefault="00A83D8C">
      <w:pPr>
        <w:spacing w:after="0" w:line="240" w:lineRule="auto"/>
        <w:jc w:val="center"/>
        <w:outlineLvl w:val="0"/>
        <w:rPr>
          <w:rFonts w:ascii="Cambria" w:hAnsi="Cambria"/>
          <w:b/>
          <w:sz w:val="28"/>
        </w:rPr>
      </w:pPr>
    </w:p>
    <w:p w:rsidR="00A83D8C" w:rsidRDefault="002A6071">
      <w:pPr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4"/>
        </w:rPr>
      </w:pPr>
      <w:r>
        <w:rPr>
          <w:rFonts w:ascii="Times New Roman" w:hAnsi="Times New Roman"/>
          <w:b/>
          <w:caps/>
          <w:sz w:val="44"/>
        </w:rPr>
        <w:t>Муниципальная программа</w:t>
      </w:r>
    </w:p>
    <w:p w:rsidR="00A83D8C" w:rsidRDefault="00A83D8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«Молодёжная политика Кашинского городского округа Тверской области </w:t>
      </w: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на 2023-2028 годы»</w:t>
      </w: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outlineLvl w:val="0"/>
        <w:rPr>
          <w:rFonts w:ascii="Calibri" w:hAnsi="Calibri"/>
        </w:rPr>
      </w:pPr>
    </w:p>
    <w:p w:rsidR="00A83D8C" w:rsidRDefault="00A83D8C">
      <w:pPr>
        <w:spacing w:after="0" w:line="240" w:lineRule="auto"/>
        <w:outlineLvl w:val="0"/>
        <w:rPr>
          <w:rFonts w:ascii="Calibri" w:hAnsi="Calibri"/>
        </w:rPr>
      </w:pPr>
    </w:p>
    <w:p w:rsidR="00A83D8C" w:rsidRDefault="00A83D8C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FA6197" w:rsidRDefault="00FA6197" w:rsidP="00F905D6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F905D6" w:rsidRDefault="00F905D6" w:rsidP="00F905D6">
      <w:pPr>
        <w:spacing w:after="0" w:line="240" w:lineRule="auto"/>
        <w:outlineLvl w:val="0"/>
        <w:rPr>
          <w:rFonts w:ascii="Times New Roman" w:hAnsi="Times New Roman"/>
          <w:sz w:val="28"/>
        </w:rPr>
      </w:pPr>
      <w:bookmarkStart w:id="0" w:name="_GoBack"/>
      <w:bookmarkEnd w:id="0"/>
    </w:p>
    <w:p w:rsidR="00FA6197" w:rsidRDefault="00FA6197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Кашин</w:t>
      </w:r>
    </w:p>
    <w:p w:rsidR="00DE41F5" w:rsidRPr="00FA6197" w:rsidRDefault="002A6071" w:rsidP="00FA6197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</w:t>
      </w:r>
    </w:p>
    <w:p w:rsidR="00A83D8C" w:rsidRDefault="002A6071">
      <w:pPr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aps/>
          <w:sz w:val="28"/>
        </w:rPr>
        <w:lastRenderedPageBreak/>
        <w:t>ПАСПОРТ</w:t>
      </w: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tbl>
      <w:tblPr>
        <w:tblW w:w="98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1657"/>
        <w:gridCol w:w="876"/>
        <w:gridCol w:w="850"/>
        <w:gridCol w:w="851"/>
        <w:gridCol w:w="850"/>
        <w:gridCol w:w="851"/>
        <w:gridCol w:w="850"/>
        <w:gridCol w:w="10"/>
      </w:tblGrid>
      <w:tr w:rsidR="00A83D8C" w:rsidTr="00C7165E">
        <w:trPr>
          <w:trHeight w:val="147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«Молодёжная политика Кашинского городского округа Тверской области на 2023-2028 годы» (далее – Программа)</w:t>
            </w:r>
          </w:p>
        </w:tc>
      </w:tr>
      <w:tr w:rsidR="00A83D8C" w:rsidTr="00C7165E">
        <w:trPr>
          <w:trHeight w:val="147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для разработки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-Постановление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A83D8C" w:rsidRDefault="002A6071" w:rsidP="00514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Постановление Правительства Тверской области от 07.04.2021 № 195-пп «О государственной программе Тверской области «Молодежь </w:t>
            </w:r>
            <w:proofErr w:type="spellStart"/>
            <w:r>
              <w:rPr>
                <w:rFonts w:ascii="Times New Roman" w:hAnsi="Times New Roman"/>
                <w:sz w:val="28"/>
              </w:rPr>
              <w:t>Вер</w:t>
            </w:r>
            <w:r w:rsidR="00514CF0">
              <w:rPr>
                <w:rFonts w:ascii="Times New Roman" w:hAnsi="Times New Roman"/>
                <w:sz w:val="28"/>
              </w:rPr>
              <w:t>хневолжья</w:t>
            </w:r>
            <w:proofErr w:type="spellEnd"/>
            <w:r w:rsidR="00514CF0">
              <w:rPr>
                <w:rFonts w:ascii="Times New Roman" w:hAnsi="Times New Roman"/>
                <w:sz w:val="28"/>
              </w:rPr>
              <w:t>» на 2021 - 2026 годы».</w:t>
            </w:r>
          </w:p>
        </w:tc>
      </w:tr>
      <w:tr w:rsidR="00A83D8C" w:rsidTr="00C7165E">
        <w:trPr>
          <w:trHeight w:val="147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left="8" w:hanging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Администратор муниципальной программы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городского округа</w:t>
            </w:r>
          </w:p>
        </w:tc>
      </w:tr>
      <w:tr w:rsidR="00A83D8C" w:rsidTr="00C7165E">
        <w:trPr>
          <w:trHeight w:val="1306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left="8" w:hanging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Исполнители муниципальной программы 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1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культуре, туризму, спорту и делам молодёжи Администрации Кашинского городского округа</w:t>
            </w:r>
          </w:p>
          <w:p w:rsidR="00A83D8C" w:rsidRDefault="002A6071">
            <w:pPr>
              <w:spacing w:after="0" w:line="240" w:lineRule="auto"/>
              <w:ind w:firstLine="1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Администрации Кашинского городского округа</w:t>
            </w:r>
          </w:p>
        </w:tc>
      </w:tr>
      <w:tr w:rsidR="00A83D8C" w:rsidTr="00C7165E">
        <w:trPr>
          <w:trHeight w:val="983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left="8" w:hanging="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 муниципальной программы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2023-2028 годы</w:t>
            </w:r>
          </w:p>
        </w:tc>
      </w:tr>
      <w:tr w:rsidR="00A83D8C" w:rsidTr="00C7165E">
        <w:trPr>
          <w:trHeight w:val="983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left="8" w:hanging="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муниципальной программы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- обеспечение эффективной социализации и самореализации молодых граждан в Кашинском городском округе</w:t>
            </w:r>
          </w:p>
        </w:tc>
      </w:tr>
      <w:tr w:rsidR="00A83D8C" w:rsidTr="00C7165E">
        <w:trPr>
          <w:trHeight w:val="2305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1 «Молодёжь Кашинского городского округа» </w:t>
            </w:r>
          </w:p>
          <w:p w:rsidR="00A83D8C" w:rsidRDefault="002A6071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2 «Содействие закреплению молодых специалистов в отрасли здравоохранение» </w:t>
            </w:r>
          </w:p>
          <w:p w:rsidR="00A83D8C" w:rsidRDefault="002A6071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«Содействие в обеспечении жильем молодых семей» </w:t>
            </w:r>
          </w:p>
        </w:tc>
      </w:tr>
      <w:tr w:rsidR="00A83D8C" w:rsidTr="00C7165E">
        <w:trPr>
          <w:trHeight w:val="2448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количества молодых граждан Кашинского городского округа, участвующих в мероприятиях государственной молодежной политики до 6300 человек;</w:t>
            </w:r>
          </w:p>
          <w:p w:rsidR="00A83D8C" w:rsidRDefault="002A6071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уровня информированности молодежи о предоставляемых в Кашинского городского округа возможностях для   саморазвития и самореализации до 95% от общего числа молодежи;</w:t>
            </w:r>
          </w:p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обеспечение жильем молодых семей Кашинского городского округа, нуждающихся в улучшении жилищных условий;</w:t>
            </w:r>
          </w:p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укрепление семейных отношений и снижение социальной напряженности в обществе.</w:t>
            </w:r>
          </w:p>
        </w:tc>
      </w:tr>
      <w:tr w:rsidR="00A83D8C" w:rsidTr="00C7165E">
        <w:trPr>
          <w:trHeight w:val="1905"/>
        </w:trPr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6E" w:rsidRDefault="002A6071" w:rsidP="00B2476E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программы на 2023 – 2028 годы </w:t>
            </w:r>
            <w:r w:rsidR="009B6F62">
              <w:rPr>
                <w:rFonts w:ascii="Times New Roman" w:hAnsi="Times New Roman"/>
                <w:sz w:val="28"/>
              </w:rPr>
              <w:t>7</w:t>
            </w:r>
            <w:r w:rsidR="000A59B3">
              <w:rPr>
                <w:rFonts w:ascii="Times New Roman" w:hAnsi="Times New Roman"/>
                <w:sz w:val="28"/>
              </w:rPr>
              <w:t>825</w:t>
            </w:r>
            <w:r w:rsidR="009B6F62">
              <w:rPr>
                <w:rFonts w:ascii="Times New Roman" w:hAnsi="Times New Roman"/>
                <w:sz w:val="28"/>
              </w:rPr>
              <w:t>,0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., осуществляется за счет средств местного – </w:t>
            </w:r>
            <w:r w:rsidR="000A59B3">
              <w:rPr>
                <w:rFonts w:ascii="Times New Roman" w:hAnsi="Times New Roman"/>
                <w:sz w:val="28"/>
              </w:rPr>
              <w:t>5405,</w:t>
            </w:r>
            <w:r>
              <w:rPr>
                <w:rFonts w:ascii="Times New Roman" w:hAnsi="Times New Roman"/>
                <w:sz w:val="28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>
              <w:rPr>
                <w:rFonts w:ascii="Times New Roman" w:hAnsi="Times New Roman"/>
                <w:sz w:val="28"/>
              </w:rPr>
              <w:t>., областного</w:t>
            </w:r>
            <w:r w:rsidR="00B2476E">
              <w:rPr>
                <w:rFonts w:ascii="Times New Roman" w:hAnsi="Times New Roman"/>
                <w:sz w:val="28"/>
              </w:rPr>
              <w:t xml:space="preserve"> и федерального – </w:t>
            </w:r>
            <w:r w:rsidR="00C7165E">
              <w:rPr>
                <w:rFonts w:ascii="Times New Roman" w:hAnsi="Times New Roman"/>
                <w:sz w:val="28"/>
              </w:rPr>
              <w:t>2419</w:t>
            </w:r>
            <w:r w:rsidR="00B2476E">
              <w:rPr>
                <w:rFonts w:ascii="Times New Roman" w:hAnsi="Times New Roman"/>
                <w:sz w:val="28"/>
              </w:rPr>
              <w:t>,</w:t>
            </w:r>
            <w:r w:rsidR="00C7165E">
              <w:rPr>
                <w:rFonts w:ascii="Times New Roman" w:hAnsi="Times New Roman"/>
                <w:sz w:val="28"/>
              </w:rPr>
              <w:t>20</w:t>
            </w:r>
            <w:r w:rsidR="00B2476E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B2476E">
              <w:rPr>
                <w:rFonts w:ascii="Times New Roman" w:hAnsi="Times New Roman"/>
                <w:sz w:val="28"/>
              </w:rPr>
              <w:t>тыс.руб</w:t>
            </w:r>
            <w:proofErr w:type="spellEnd"/>
            <w:r w:rsidR="00B2476E">
              <w:rPr>
                <w:rFonts w:ascii="Times New Roman" w:hAnsi="Times New Roman"/>
                <w:sz w:val="28"/>
              </w:rPr>
              <w:t>.</w:t>
            </w:r>
          </w:p>
          <w:p w:rsidR="00A83D8C" w:rsidRDefault="00A83D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83D8C" w:rsidTr="00C7165E">
        <w:trPr>
          <w:trHeight w:val="240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</w:t>
            </w:r>
          </w:p>
          <w:p w:rsidR="00A83D8C" w:rsidRDefault="002A6071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  <w:p w:rsidR="00A83D8C" w:rsidRDefault="00A83D8C">
            <w:pPr>
              <w:spacing w:after="0" w:line="240" w:lineRule="auto"/>
              <w:ind w:left="-152" w:right="-11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1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 реализации</w:t>
            </w:r>
          </w:p>
        </w:tc>
      </w:tr>
      <w:tr w:rsidR="00A83D8C" w:rsidTr="00C7165E">
        <w:trPr>
          <w:gridAfter w:val="1"/>
          <w:wAfter w:w="10" w:type="dxa"/>
          <w:trHeight w:val="390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</w:tr>
      <w:tr w:rsidR="00A83D8C" w:rsidTr="00C7165E">
        <w:trPr>
          <w:gridAfter w:val="1"/>
          <w:wAfter w:w="10" w:type="dxa"/>
          <w:trHeight w:val="495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Pr="00B2476E" w:rsidRDefault="002A6071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Cs w:val="22"/>
              </w:rPr>
            </w:pPr>
            <w:r w:rsidRPr="00B2476E">
              <w:rPr>
                <w:rFonts w:ascii="Times New Roman" w:hAnsi="Times New Roman"/>
                <w:szCs w:val="22"/>
              </w:rPr>
              <w:t>Подпрограмма 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</w:tr>
      <w:tr w:rsidR="00A83D8C" w:rsidTr="00C7165E">
        <w:trPr>
          <w:gridAfter w:val="1"/>
          <w:wAfter w:w="10" w:type="dxa"/>
          <w:trHeight w:val="570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Pr="00B2476E" w:rsidRDefault="002A6071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Cs w:val="22"/>
              </w:rPr>
            </w:pPr>
            <w:r w:rsidRPr="00B2476E">
              <w:rPr>
                <w:rFonts w:ascii="Times New Roman" w:hAnsi="Times New Roman"/>
                <w:szCs w:val="22"/>
              </w:rPr>
              <w:t>Подпрограмма 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FA6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180 ,0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3D8C" w:rsidTr="00C7165E">
        <w:trPr>
          <w:gridAfter w:val="1"/>
          <w:wAfter w:w="10" w:type="dxa"/>
          <w:trHeight w:val="630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Pr="00B2476E" w:rsidRDefault="002A6071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Cs w:val="22"/>
              </w:rPr>
            </w:pPr>
            <w:r w:rsidRPr="00B2476E">
              <w:rPr>
                <w:rFonts w:ascii="Times New Roman" w:hAnsi="Times New Roman"/>
                <w:szCs w:val="22"/>
              </w:rPr>
              <w:t>Подпрограмма 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C71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3024</w:t>
            </w:r>
            <w:r w:rsidR="002300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</w:tr>
      <w:tr w:rsidR="00A83D8C" w:rsidTr="00C7165E">
        <w:trPr>
          <w:gridAfter w:val="1"/>
          <w:wAfter w:w="10" w:type="dxa"/>
          <w:trHeight w:val="630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Pr="00B2476E" w:rsidRDefault="002A6071">
            <w:pPr>
              <w:spacing w:after="0" w:line="240" w:lineRule="auto"/>
              <w:ind w:left="-152" w:right="-110"/>
              <w:jc w:val="center"/>
              <w:rPr>
                <w:rFonts w:ascii="Times New Roman" w:hAnsi="Times New Roman"/>
                <w:szCs w:val="22"/>
              </w:rPr>
            </w:pPr>
            <w:r w:rsidRPr="00B2476E">
              <w:rPr>
                <w:rFonts w:ascii="Times New Roman" w:hAnsi="Times New Roman"/>
                <w:szCs w:val="22"/>
              </w:rPr>
              <w:t>Итого: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C7165E" w:rsidP="00C716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0A59B3">
              <w:rPr>
                <w:rFonts w:ascii="Times New Roman" w:hAnsi="Times New Roman"/>
                <w:sz w:val="24"/>
              </w:rPr>
              <w:t>216</w:t>
            </w:r>
            <w:r w:rsidR="002300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921,8</w:t>
            </w:r>
          </w:p>
        </w:tc>
      </w:tr>
    </w:tbl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  <w:r>
        <w:rPr>
          <w:rFonts w:ascii="Times New Roman" w:hAnsi="Times New Roman"/>
          <w:b/>
          <w:sz w:val="28"/>
        </w:rPr>
        <w:lastRenderedPageBreak/>
        <w:t>1. Общая характеристика сферы реализации муниципальной программы</w:t>
      </w:r>
    </w:p>
    <w:p w:rsidR="00A83D8C" w:rsidRDefault="00A83D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83D8C" w:rsidRDefault="002A607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Общая характеристика сферы реализации муниципальной программы и прогноз её развития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Государственную молодёжную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молодёжными организациями.</w:t>
      </w:r>
      <w:r w:rsidR="00B2476E" w:rsidRPr="00B2476E">
        <w:rPr>
          <w:rFonts w:ascii="Times New Roman" w:hAnsi="Times New Roman"/>
          <w:sz w:val="28"/>
        </w:rPr>
        <w:t xml:space="preserve"> </w:t>
      </w:r>
      <w:r w:rsidR="00B2476E">
        <w:rPr>
          <w:rFonts w:ascii="Times New Roman" w:hAnsi="Times New Roman"/>
          <w:sz w:val="28"/>
        </w:rPr>
        <w:t>Целью государственной молодёжной политики является создание условий для успешной социализации и эффективной самореализации молодёжи, развитие потенциала молодёжи и его использование в интересах инновационного развития.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Эффективная государственная молодёжная политика - один из главных инструментов развития Тверской области, что выражается в повышении благосостояния его граждан и совершенствования общественных отношений.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Успешное решение задач социально-экономического и культурного развития региона невозможно без активного участия молодёжи.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Одним из приоритетов государственной молодёжной политики </w:t>
      </w:r>
      <w:r w:rsidR="00B2476E"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решение жилищной проблемы молодых граждан Тверского региона. С этой целью Кашинский городской округ Тверской области активно участвует в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 1710. </w:t>
      </w:r>
      <w:r w:rsidRPr="00400F06">
        <w:rPr>
          <w:rFonts w:ascii="Times New Roman" w:hAnsi="Times New Roman"/>
          <w:color w:val="auto"/>
          <w:sz w:val="28"/>
        </w:rPr>
        <w:t>В период с 2007 по 202</w:t>
      </w:r>
      <w:r w:rsidR="00400F06" w:rsidRPr="00400F06">
        <w:rPr>
          <w:rFonts w:ascii="Times New Roman" w:hAnsi="Times New Roman"/>
          <w:color w:val="auto"/>
          <w:sz w:val="28"/>
        </w:rPr>
        <w:t>2</w:t>
      </w:r>
      <w:r w:rsidRPr="00400F06">
        <w:rPr>
          <w:rFonts w:ascii="Times New Roman" w:hAnsi="Times New Roman"/>
          <w:color w:val="auto"/>
          <w:sz w:val="28"/>
        </w:rPr>
        <w:t xml:space="preserve"> годы 8</w:t>
      </w:r>
      <w:r w:rsidR="00400F06" w:rsidRPr="00400F06">
        <w:rPr>
          <w:rFonts w:ascii="Times New Roman" w:hAnsi="Times New Roman"/>
          <w:color w:val="auto"/>
          <w:sz w:val="28"/>
        </w:rPr>
        <w:t>6</w:t>
      </w:r>
      <w:r>
        <w:rPr>
          <w:rFonts w:ascii="Times New Roman" w:hAnsi="Times New Roman"/>
          <w:sz w:val="28"/>
        </w:rPr>
        <w:t xml:space="preserve"> молодая семья, проживающая в Кашинском городском округе, улучшили свои жилищные условия.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системы здравоохранения городского округа – это один из приоритетных и стратегических факторов улучшения </w:t>
      </w:r>
      <w:proofErr w:type="spellStart"/>
      <w:r>
        <w:rPr>
          <w:rFonts w:ascii="Times New Roman" w:hAnsi="Times New Roman"/>
          <w:sz w:val="28"/>
        </w:rPr>
        <w:t>медикодемографической</w:t>
      </w:r>
      <w:proofErr w:type="spellEnd"/>
      <w:r>
        <w:rPr>
          <w:rFonts w:ascii="Times New Roman" w:hAnsi="Times New Roman"/>
          <w:sz w:val="28"/>
        </w:rPr>
        <w:t xml:space="preserve"> ситуации и состояния здоровья населения, создающего основы устойчивого социально-экономического развития Кашинского городского округа. Качественное медицинское обслуживание населения зависит от многих факторов, но главным является – наличие грамотных высококвалифицированных специалистов. Учитывая то, что с каждым годом увеличивается число специалистов предпенсионного и пенсионного возрастов, проблема кадров в сфере здравоохранения стоит очень остро. На сегодняшний день ресурсный потенциал поликлиник не может удовлетворить потребность в качественной и доступной медицинской помощи в объемах, адекватных заболеваемости населения. 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направлений в решении кадрового вопроса в учреждениях здравоохранения может стать привлечение в Кашинский городской округ </w:t>
      </w:r>
      <w:r>
        <w:rPr>
          <w:rFonts w:ascii="Times New Roman" w:hAnsi="Times New Roman"/>
          <w:sz w:val="28"/>
        </w:rPr>
        <w:lastRenderedPageBreak/>
        <w:t>талантливых и профессиональных молодых специалистов, несущих потенциал для развития отрасли здравоохранения.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Перечень основных проблем в сфере реализации муниципальной 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анализа реализации молодёжной политики в Кашинском городском округе Тверской области выявлены следующие основные проблемы в данной сфере: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несоответствие жизненных установок, ценностей и моделей поведения молодых людей потребностям региона;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молодёжь культуры, искусства и образования. Во многом утратили роль инструмента духовно-культурной политики государства и средства массовой информации.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молодёжной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Часть молодёжи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 xml:space="preserve"> не связывает свое будущее с родным краем, ориентируется на карьеру в других регионах, прежде всего в Москве и Санкт-Петербурге.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 охвата молодого поколения асоциальными проявлениями, числа правонарушений молодежи обостряет социальную напряженность в обществе, создает угрозу развитию гражданского общества.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ограниченные возможности молодёжи для полноценной социализации и вовлечения в трудовую деятельность;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Около одной трети молодых людей не в состоянии успешно адаптироваться к современной экономической ситуации и реализовать свои профессиональные устремления. Доля молодёжи среди официально зарегистрированных безработных увеличивается.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Растет потребность в государственной поддержке занятости молодёжи.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несоответствие имеющегося кадрового состава потребностям в Кашинском городском округе в грамотных высококвалифицированных молодых специалистах. Дефицит врачей в Кашинском городском округе </w:t>
      </w:r>
      <w:proofErr w:type="gramStart"/>
      <w:r>
        <w:rPr>
          <w:rFonts w:ascii="Times New Roman" w:hAnsi="Times New Roman"/>
          <w:sz w:val="28"/>
        </w:rPr>
        <w:t xml:space="preserve">составляет </w:t>
      </w:r>
      <w:r w:rsidR="00514CF0">
        <w:rPr>
          <w:rFonts w:ascii="Times New Roman" w:hAnsi="Times New Roman"/>
          <w:sz w:val="28"/>
        </w:rPr>
        <w:t xml:space="preserve"> </w:t>
      </w:r>
      <w:r w:rsidR="00400F06" w:rsidRPr="00400F06">
        <w:rPr>
          <w:rFonts w:ascii="Times New Roman" w:hAnsi="Times New Roman"/>
          <w:color w:val="auto"/>
          <w:sz w:val="28"/>
        </w:rPr>
        <w:t>50</w:t>
      </w:r>
      <w:proofErr w:type="gramEnd"/>
      <w:r w:rsidRPr="00400F06">
        <w:rPr>
          <w:rFonts w:ascii="Times New Roman" w:hAnsi="Times New Roman"/>
          <w:color w:val="auto"/>
          <w:sz w:val="28"/>
        </w:rPr>
        <w:t>%</w:t>
      </w:r>
      <w:r>
        <w:rPr>
          <w:rFonts w:ascii="Times New Roman" w:hAnsi="Times New Roman"/>
          <w:sz w:val="28"/>
        </w:rPr>
        <w:t xml:space="preserve"> от штатного расписания. С каждым годом увеличивается число специалистов пенсионного возраста. Отток в другие города наиболее одаренных и высококвалифицированных кадров. «Дух» незаменимости (монополизма) оставшихся специалистов ведет к снижению качества услуг.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недостаточная обеспеченность жильем молодых семей;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Несмотря на модернизацию и реформирование жилищно-коммунального хозяйства, проблемы, вызванные со старением жилого фонда и неразвитостью форм найма жилья, провоцируют рост цен и арендной платы за жилье. </w:t>
      </w:r>
      <w:r>
        <w:rPr>
          <w:rFonts w:ascii="Times New Roman" w:hAnsi="Times New Roman"/>
          <w:sz w:val="28"/>
        </w:rPr>
        <w:lastRenderedPageBreak/>
        <w:t>Отсутствие отдельного жилья, неудовлетворительные жилищные условия способствуют созданию психологического дискомфорта, который зачастую приводит к нестабильности семейных отношений, разводам.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 процессы осложняются в молодых семьях недостаточным уровнем их материальной обеспеченности в силу низкой квалификации или сравнительно невысокой заработной платы молодежи, отсутствием у нее опыта семейной и социальной жизни.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Цель муниципальной 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C000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муниципальной программы – обеспечение эффективной социализации и самореализации молодых граждан в Кашинском городском округе.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цели муниципальной программы, являются: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граждан, принявших участие в мероприятиях государственной молодёжной политики;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уровень информированности молодёжи о предоставляемых возможностях для саморазвития и самореализации.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Значение показателей цели муниципальной программы по годам ее реализации приведены в приложении 1 к настоящей программе.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цели в области молодёжной политики в рамках реализации настоящей Программы предусматривается выполнение следующих подпрограмм: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«Молодёжь Кашинского городского округа»;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-«Содействие закреплению молодых специалистов в отрасли здравоохранение»;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-  «</w:t>
      </w:r>
      <w:proofErr w:type="gramEnd"/>
      <w:r>
        <w:rPr>
          <w:rFonts w:ascii="Times New Roman" w:hAnsi="Times New Roman"/>
          <w:sz w:val="28"/>
        </w:rPr>
        <w:t>Содействие в обеспечении жильем молодых семей».</w:t>
      </w:r>
    </w:p>
    <w:p w:rsidR="00A83D8C" w:rsidRDefault="00A83D8C">
      <w:pPr>
        <w:spacing w:after="0" w:line="240" w:lineRule="auto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 Подпрограмма 1 «Молодёжь Кашинского городского округа» 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 Задачи подпрограммы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«Молодёжь Кашинск</w:t>
      </w:r>
      <w:r w:rsidR="00D159DB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городско</w:t>
      </w:r>
      <w:r w:rsidR="00D159DB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округ</w:t>
      </w:r>
      <w:r w:rsidR="00D159DB">
        <w:rPr>
          <w:rFonts w:ascii="Times New Roman" w:hAnsi="Times New Roman"/>
          <w:sz w:val="28"/>
        </w:rPr>
        <w:t>а</w:t>
      </w:r>
      <w:r w:rsidR="000C75DB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подпрограмма 1) связана с решением следующих задач: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1 «Развитие молодёжного самоуправления»;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2 «Поддержка общественно значимых проектов (программ) детских и молодёжных общественных объединений»;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3 «Профилактика асоциальных явлений в молодёжной среде»;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4 «Развитие материально-технической базы органов по работе с детьми и молодёжью и органов молодёжного самоуправления»;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5 «Межмуниципальное сотрудничество молодёжи Кашинского городского округа».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Задача 6 «Вовлечение молодежи в добровольческую (волонтерскую) деятельность».</w:t>
      </w:r>
    </w:p>
    <w:p w:rsidR="00A83D8C" w:rsidRPr="00A66DFB" w:rsidRDefault="002A6071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A66DFB">
        <w:rPr>
          <w:rFonts w:ascii="Times New Roman" w:hAnsi="Times New Roman"/>
          <w:color w:val="auto"/>
          <w:sz w:val="28"/>
        </w:rPr>
        <w:t>Задача 7 «Содействие развитию гражданско-патриотического и духовно-нравственного воспитания молодежи».</w:t>
      </w:r>
    </w:p>
    <w:p w:rsidR="00A83D8C" w:rsidRDefault="002A607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«Развитие молодёжного самоуправления» оценивается с помощью следующих показателей: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органов молодёжного самоуправления на территории Кашинского городского округа;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доля молодёжи, принимающей участие в деятельности органов молодёжного самоуправления.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«Поддержка общественно значимых проектов (программ) детских и молодёжных общественных объединений» оценивается с помощью следующих показателей: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реализованных общественно значимых проектов (программ) детскими и молодёжными общественными объединениями;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количество молодых граждан принявших участие в реализации общественно значимых проектов (программ) детских и молодёжных общественных объединений;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«Профилактика асоциальных явлений в молодёжной среде» оценивается с помощью следующих показателей: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расходов муниципального образования, предусмотренных в рамках муниципальной программы.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4 «Развитие материально-технической базы органов по работе с детьми и молодёжью и органов молодёжного самоуправления» оценивается с помощью следующих показателей: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расходов муниципального образования, предусмотренных в рамках муниципальной программы.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«Межмуниципальное сотрудничество молодёжи Кашинского городского округа» оценивается с помощью следующих показателей: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расходов муниципального образования, предусмотренных в рамках муниципальной программы.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«Вовлечение молодежи в добровольческую (волонтерскую) деятельность»: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доля молодежи, вовлеченной в добровольческую (волонтерскую) деятельность.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7 «Содействие развитию гражданско-патриотического и духовно-нравственного воспитания молодежи» оценивается с помощью следующих показателей: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проведенных мероприятий, направленных на развитие гражданско-патриотического и духовно-нравственного воспитания молодежи.</w:t>
      </w:r>
    </w:p>
    <w:p w:rsidR="00A83D8C" w:rsidRDefault="00A83D8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Мероприятия подпрограммы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Решение задачи 1 «Развитие молодёжного самоуправления» осуществляется посредством выполнения следующих мероприятий:</w:t>
      </w:r>
    </w:p>
    <w:p w:rsidR="00A83D8C" w:rsidRDefault="002A6071">
      <w:pPr>
        <w:spacing w:after="0" w:line="240" w:lineRule="auto"/>
        <w:ind w:left="5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деятельности Молодежного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 при Администрации Кашинского городского округа, в том числе организация и проведение мероприятий»;</w:t>
      </w:r>
    </w:p>
    <w:p w:rsidR="00A83D8C" w:rsidRDefault="002A6071">
      <w:pPr>
        <w:spacing w:after="0" w:line="240" w:lineRule="auto"/>
        <w:ind w:left="5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и проведение круглых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столов по развитию молодёжного самоуправления».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«Поддержка общественно значимых проектов (программ) детских и молодёжных общественных объединений» осуществляется посредством выполнения следующих мероприятий:</w:t>
      </w:r>
    </w:p>
    <w:p w:rsidR="00A83D8C" w:rsidRDefault="002A6071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и проведение мероприятий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гражданско-патриотической направленности, мероприятий, направленных на формирование здорового образа жизни»;</w:t>
      </w:r>
    </w:p>
    <w:p w:rsidR="00A83D8C" w:rsidRDefault="002A6071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мероприятие подпрограммы «Вручение Гранта Главы Кашинского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городского округа молодым и талантливым»;</w:t>
      </w:r>
    </w:p>
    <w:p w:rsidR="00A83D8C" w:rsidRDefault="002A6071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«Информирование населения о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конкурса грантов и о проводимых мероприятиях гражданско-патриотической направленности и мероприятий, направленных на формирование здорового образа жизни».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«Профилактика асоциальных явлений в молодёжной среде» осуществляется посредством выполнения следующих мероприятий: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и проведение мероприятий по профилактике асоциальных явлений в молодежной среде»;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административное мероприятие «Организация и проведение 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конференций, круглых столов, совещаний по вопросам профилактики асоциальных явлений в молодёжной среде».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4 «Развитие материально-технической базы органов по работе с детьми и молодёжью и органов молодёжного самоуправления» осуществляется посредством выполнения следующих мероприятий:</w:t>
      </w:r>
    </w:p>
    <w:p w:rsidR="00A83D8C" w:rsidRDefault="002A6071">
      <w:pPr>
        <w:spacing w:after="0" w:line="240" w:lineRule="auto"/>
        <w:ind w:firstLine="5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«Приобретение одежды, оборудования, расходных материалов и прочее для нужд деятельности органов молодёжного самоуправления»;</w:t>
      </w:r>
    </w:p>
    <w:p w:rsidR="00A83D8C" w:rsidRDefault="002A6071">
      <w:pPr>
        <w:spacing w:after="0" w:line="240" w:lineRule="auto"/>
        <w:ind w:firstLine="57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освещения деятельности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органов по работе с детьми и молодёжью и органов молодёжного самоуправления в СМИ».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«Межмуниципальное сотрудничество молодёжи Кашинского городского округа» осуществляется посредством выполнения следующих мероприятий: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«Участие в областных, межрегиональных, федеральных мероприятиях»;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освещения межмуниципального сотрудничество молодёжи Кашинского городского округа в СМИ».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Решение задачи 6 «Вовлечение молодежи в добровольческую (волонтерскую) деятельность» осуществляется посредством выполнения следующих мероприятий: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«Организация и проведение мероприятий в сфере развития добровольческой (волонтерской) деятельности»;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«Информационное обеспечение добровольческой (волонтерской) деятельности молодежи»;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«Информирование молодёжи в части безопасного поведения, действий в чрезвычайных ситуациях».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7 «Содействие развитию гражданско-патриотического и духовно-нравственного воспитания молодежи» осуществляется посредством выполнения следующих мероприятий:</w:t>
      </w:r>
    </w:p>
    <w:p w:rsidR="00633820" w:rsidRDefault="0063382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 w:rsidRPr="00633820">
        <w:t xml:space="preserve"> </w:t>
      </w:r>
      <w:r>
        <w:rPr>
          <w:rFonts w:ascii="Times New Roman" w:hAnsi="Times New Roman"/>
          <w:sz w:val="28"/>
        </w:rPr>
        <w:t xml:space="preserve">административное мероприятие </w:t>
      </w:r>
      <w:r>
        <w:t>«</w:t>
      </w:r>
      <w:r>
        <w:rPr>
          <w:rFonts w:ascii="Times New Roman" w:hAnsi="Times New Roman"/>
          <w:sz w:val="28"/>
        </w:rPr>
        <w:t>П</w:t>
      </w:r>
      <w:r w:rsidRPr="00633820">
        <w:rPr>
          <w:rFonts w:ascii="Times New Roman" w:hAnsi="Times New Roman"/>
          <w:sz w:val="28"/>
        </w:rPr>
        <w:t>роведение мероприятий по уборке воинских захоронений и мемориальных комплексов</w:t>
      </w:r>
      <w:r>
        <w:rPr>
          <w:rFonts w:ascii="Times New Roman" w:hAnsi="Times New Roman"/>
          <w:sz w:val="28"/>
        </w:rPr>
        <w:t>»,</w:t>
      </w:r>
    </w:p>
    <w:p w:rsidR="00A83D8C" w:rsidRDefault="0063382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2A6071">
        <w:rPr>
          <w:rFonts w:ascii="Times New Roman" w:hAnsi="Times New Roman"/>
          <w:sz w:val="28"/>
        </w:rPr>
        <w:t>) административное мероприятие «Проведение совещаний, круглых столов, направленных на формирование гражданской позиции».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административного мероприятия и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A83D8C" w:rsidRDefault="00A83D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Объем финансовых ресурсов, необходимый для реализации подпрограммы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на реализацию подпрограммы 1 за счет средств местного, областного бюджетов, составляет </w:t>
      </w:r>
      <w:r w:rsidR="00633820">
        <w:rPr>
          <w:rFonts w:ascii="Times New Roman" w:hAnsi="Times New Roman"/>
          <w:sz w:val="28"/>
        </w:rPr>
        <w:t>822,0</w:t>
      </w:r>
      <w:r>
        <w:rPr>
          <w:rFonts w:ascii="Times New Roman" w:hAnsi="Times New Roman"/>
          <w:sz w:val="28"/>
        </w:rPr>
        <w:t xml:space="preserve"> тыс. руб.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 на реализацию подпрограммы 1 по годам реализации программы в разрезе задач приведен в таблице 1.</w:t>
      </w:r>
    </w:p>
    <w:p w:rsidR="00A83D8C" w:rsidRDefault="002A6071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853"/>
        <w:gridCol w:w="706"/>
        <w:gridCol w:w="854"/>
        <w:gridCol w:w="706"/>
        <w:gridCol w:w="853"/>
        <w:gridCol w:w="710"/>
      </w:tblGrid>
      <w:tr w:rsidR="00A83D8C">
        <w:trPr>
          <w:trHeight w:val="761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подпрограммы</w:t>
            </w:r>
          </w:p>
        </w:tc>
        <w:tc>
          <w:tcPr>
            <w:tcW w:w="4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Финансовые ресурсы, необходимые для реализации подпрограммы 1  </w:t>
            </w:r>
          </w:p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(в тыс. руб.)</w:t>
            </w:r>
          </w:p>
        </w:tc>
      </w:tr>
      <w:tr w:rsidR="00A83D8C" w:rsidTr="00604870">
        <w:trPr>
          <w:trHeight w:val="495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A83D8C"/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  <w:r w:rsidR="00633820">
              <w:rPr>
                <w:rFonts w:ascii="Times New Roman" w:hAnsi="Times New Roman"/>
                <w:b/>
                <w:sz w:val="24"/>
              </w:rPr>
              <w:t>23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633820"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633820"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633820"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633820">
              <w:rPr>
                <w:rFonts w:ascii="Times New Roman" w:hAnsi="Times New Roman"/>
                <w:b/>
                <w:sz w:val="24"/>
              </w:rPr>
              <w:t>7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633820"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b/>
                <w:sz w:val="24"/>
              </w:rPr>
              <w:t xml:space="preserve"> год</w:t>
            </w:r>
          </w:p>
        </w:tc>
      </w:tr>
      <w:tr w:rsidR="00A83D8C" w:rsidTr="00604870">
        <w:trPr>
          <w:trHeight w:val="574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«Развитие молодёжного самоуправления»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32,0</w:t>
            </w:r>
          </w:p>
        </w:tc>
      </w:tr>
      <w:tr w:rsidR="00A83D8C" w:rsidTr="00604870">
        <w:trPr>
          <w:trHeight w:val="76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«Поддержка общественно значимых проектов (программ) детских и молодёжных общественных объединений»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33820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33820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33820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 w:rsidP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633820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338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25,0</w:t>
            </w:r>
          </w:p>
        </w:tc>
      </w:tr>
      <w:tr w:rsidR="00A83D8C" w:rsidTr="00604870">
        <w:trPr>
          <w:trHeight w:val="66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5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«Профилактика асоциальных явлений в молодёжной среде»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2A607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2A607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2A607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2A6071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</w:tr>
      <w:tr w:rsidR="00A83D8C" w:rsidTr="00604870">
        <w:trPr>
          <w:trHeight w:val="2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«Развитие материально-технической базы органов по работе с детьми и молодёжью и органов молодёжного самоуправления»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15,0</w:t>
            </w:r>
          </w:p>
        </w:tc>
      </w:tr>
      <w:tr w:rsidR="00A83D8C" w:rsidTr="00604870">
        <w:trPr>
          <w:trHeight w:val="76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Задача 5 «Межмуниципальное сотрудничество молодёжи Кашинского городского округа»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</w:tr>
      <w:tr w:rsidR="00A83D8C" w:rsidTr="00604870">
        <w:trPr>
          <w:trHeight w:val="89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 «Вовлечение молодежи в добровольческую (волонтерскую) деятельность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</w:t>
            </w:r>
          </w:p>
        </w:tc>
      </w:tr>
      <w:tr w:rsidR="00A83D8C" w:rsidTr="00604870">
        <w:trPr>
          <w:trHeight w:val="76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Задача 7 «Содействие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83D8C" w:rsidTr="00604870">
        <w:trPr>
          <w:trHeight w:val="353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2A6071" w:rsidP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604870"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ind w:right="-11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A"/>
            </w:tcBorders>
            <w:vAlign w:val="center"/>
          </w:tcPr>
          <w:p w:rsidR="00A83D8C" w:rsidRDefault="00604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A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60487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137,0</w:t>
            </w:r>
          </w:p>
        </w:tc>
      </w:tr>
    </w:tbl>
    <w:p w:rsidR="00A83D8C" w:rsidRDefault="00A83D8C">
      <w:pPr>
        <w:spacing w:after="0" w:line="240" w:lineRule="auto"/>
        <w:rPr>
          <w:rFonts w:ascii="Times New Roman" w:hAnsi="Times New Roman"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83D8C" w:rsidRDefault="002A60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Подпрограмма 2 «Содействие закреплению</w:t>
      </w:r>
      <w:r w:rsidR="0036414B">
        <w:rPr>
          <w:rFonts w:ascii="Times New Roman" w:hAnsi="Times New Roman"/>
          <w:b/>
          <w:sz w:val="28"/>
        </w:rPr>
        <w:t xml:space="preserve"> молодых специалистов в отрасли здравоохранение</w:t>
      </w:r>
      <w:r>
        <w:rPr>
          <w:rFonts w:ascii="Times New Roman" w:hAnsi="Times New Roman"/>
          <w:b/>
          <w:sz w:val="28"/>
        </w:rPr>
        <w:t>»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Задачи подпрограммы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2 «Содействие закреплению молодых специалистов в отрасли здравоохранение» (далее - подпрограмма 2) связана с решением следующих задач:</w:t>
      </w:r>
    </w:p>
    <w:p w:rsidR="00A83D8C" w:rsidRDefault="002A6071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а) задача 1 «Привлечение в Кашинский городской округ талантливых и профессиональных молодых специалистов, несущих потенциал для развития отрасли здравоохранения»; </w:t>
      </w:r>
    </w:p>
    <w:p w:rsidR="00A83D8C" w:rsidRDefault="002A6071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«Содействие в решении жилищных проблем молодых специалистов в отрасли здравоохранение».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«Привлечение в Кашинский городской округ талантливых и профессиональных молодых специалистов, несущих потенциал для развития отрасли здравоохранения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оценивается с помощью следующего показателя: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специалистов, привлеченных в Кашинский городской округ и трудоустроившихся в отрасли здравоохранение.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«Содействие в решении жилищных проблем молодых специалистов в отрасли здравоохранение» оценивается с помощью следующего показателя: 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специалистов, которым возмещаются затраты по найму жилых помещений на период их трудовой деятельности в Кашинском городском округе.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показателей задач подпрограммы 2 по годам реализации приведены в приложении 1 к настоящей Программе.</w:t>
      </w:r>
    </w:p>
    <w:p w:rsidR="00A83D8C" w:rsidRDefault="00A83D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Мероприятия подпрограммы</w:t>
      </w:r>
    </w:p>
    <w:p w:rsidR="00A83D8C" w:rsidRDefault="00A83D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Решение задачи 1 «Привлечение в Кашинский городской</w:t>
      </w:r>
      <w:r>
        <w:rPr>
          <w:rFonts w:ascii="Times New Roman" w:hAnsi="Times New Roman"/>
          <w:sz w:val="28"/>
        </w:rPr>
        <w:tab/>
        <w:t xml:space="preserve"> округ талантливых и профессиональных молодых специалистов, несущих потенциал для развития отрасли здравоохранения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осуществляется посредством выполнения следующих административных мероприятий и мероприятий подпрограммы 2: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административное мероприятие «Формирование банка данных о наличии вакантных мест в государственных и муниципальных учреждениях здравоохранения Кашинского городского округа»;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«Размещение информации о вакансиях на студенческих биржах»;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«Посещение высших учебных заведений с целью агитации молодых специалистов к трудоустройству в Кашинском городском округе»;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административное мероприятие «Изготовление и распространение информационного материла о Кашинском городском округе и условиях работы в государственных и муниципальных учреждениях здравоохранения Кашинского городского округа среди выпускников высших учебных заведений».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Решение задачи 2 «Содействие в решении жилищных проблем молодых специалистов в отрасли здравоохранение» осуществляется посредством выполнения следующего мероприятия подпрограммы 2: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«Возмещение молодым специалистам затрат по найму жилых помещений на период своей трудовой деятельности в Кашинском городском округе»;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«Организация встреч и разъяснение гражданам условий подпрограммы».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Механизм предоставления бюджетных ассигнований для выполнения мероприятий подпрограммы 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Бюджетные ассигнования для выполнения мероприятия «Возмещение молодым специалистам затрат по найму жилых помещений на период своей трудовой деятельности в Кашинском городском округе предоставляются в соответствии с Порядком возмещения затрат по найму жилых помещений молодым специалистам, работающим в сфере здравоохранения на территории  Кашинского  городского округа Тверской области, приведенном в приложении 2 к настоящей  программе.</w:t>
      </w:r>
    </w:p>
    <w:p w:rsidR="00A83D8C" w:rsidRDefault="00A83D8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  Объем финансовых ресурсов, необходимый для реализации подпрограммы</w:t>
      </w:r>
    </w:p>
    <w:p w:rsidR="00A83D8C" w:rsidRDefault="00A83D8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Общий объем финансирования на реализацию подпрограммы 2 за счет средств местного бюджета, составляет </w:t>
      </w:r>
      <w:r w:rsidR="000A59B3">
        <w:rPr>
          <w:rFonts w:ascii="Times New Roman" w:hAnsi="Times New Roman"/>
          <w:sz w:val="28"/>
        </w:rPr>
        <w:t>955,</w:t>
      </w:r>
      <w:r>
        <w:rPr>
          <w:rFonts w:ascii="Times New Roman" w:hAnsi="Times New Roman"/>
          <w:sz w:val="28"/>
        </w:rPr>
        <w:t>0 тыс. руб.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 на реализацию подпрограммы 2 по годам реализации программы в разрезе задач приведен в таблице 2.</w:t>
      </w:r>
    </w:p>
    <w:p w:rsidR="00A83D8C" w:rsidRDefault="00A83D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Табл.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851"/>
        <w:gridCol w:w="852"/>
        <w:gridCol w:w="851"/>
        <w:gridCol w:w="852"/>
        <w:gridCol w:w="851"/>
        <w:gridCol w:w="852"/>
      </w:tblGrid>
      <w:tr w:rsidR="00A83D8C">
        <w:trPr>
          <w:trHeight w:val="761"/>
        </w:trPr>
        <w:tc>
          <w:tcPr>
            <w:tcW w:w="4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83D8C" w:rsidRDefault="00A83D8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83D8C" w:rsidRDefault="00A83D8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83D8C" w:rsidRDefault="002A607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подпрограммы</w:t>
            </w:r>
          </w:p>
        </w:tc>
        <w:tc>
          <w:tcPr>
            <w:tcW w:w="5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Финансовые ресурсы, необходимые для реализации</w:t>
            </w:r>
          </w:p>
          <w:p w:rsidR="00A83D8C" w:rsidRDefault="002A607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подпрограммы 2 (в тыс. руб.)</w:t>
            </w:r>
          </w:p>
        </w:tc>
      </w:tr>
      <w:tr w:rsidR="00A83D8C">
        <w:trPr>
          <w:trHeight w:val="609"/>
        </w:trPr>
        <w:tc>
          <w:tcPr>
            <w:tcW w:w="4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</w:t>
            </w:r>
          </w:p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2026 год</w:t>
            </w: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2027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2028 год</w:t>
            </w:r>
          </w:p>
        </w:tc>
      </w:tr>
      <w:tr w:rsidR="00A83D8C">
        <w:trPr>
          <w:trHeight w:val="574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«Привлечение в Кашинский городской округ талантливых и профессиональных молодых специалистов, несущих потенциал для развития отрасли здравоохранения»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83D8C">
        <w:trPr>
          <w:trHeight w:val="761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«Содействие в решении жилищных проблем молодых специалистов в отрасли здравоохранение»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0A5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</w:tr>
      <w:tr w:rsidR="00A83D8C">
        <w:trPr>
          <w:trHeight w:val="353"/>
        </w:trPr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0A59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  <w:r w:rsidR="002A6071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180,0</w:t>
            </w:r>
          </w:p>
        </w:tc>
      </w:tr>
    </w:tbl>
    <w:p w:rsidR="00A83D8C" w:rsidRDefault="00A83D8C">
      <w:pPr>
        <w:tabs>
          <w:tab w:val="left" w:pos="7078"/>
        </w:tabs>
        <w:spacing w:after="0" w:line="240" w:lineRule="auto"/>
        <w:rPr>
          <w:rFonts w:ascii="Times New Roman" w:hAnsi="Times New Roman"/>
          <w:sz w:val="24"/>
        </w:rPr>
      </w:pPr>
    </w:p>
    <w:p w:rsidR="00A83D8C" w:rsidRDefault="00A83D8C">
      <w:pPr>
        <w:tabs>
          <w:tab w:val="left" w:pos="7078"/>
        </w:tabs>
        <w:spacing w:after="0" w:line="240" w:lineRule="auto"/>
        <w:rPr>
          <w:rFonts w:ascii="Times New Roman" w:hAnsi="Times New Roman"/>
          <w:sz w:val="24"/>
        </w:rPr>
      </w:pPr>
    </w:p>
    <w:p w:rsidR="00A83D8C" w:rsidRDefault="002A607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Подпрограмма 3 «Содействие в обеспечении жильем молодых семей»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Задачи подпрограммы</w:t>
      </w:r>
    </w:p>
    <w:p w:rsidR="00A83D8C" w:rsidRDefault="00A83D8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«Содействие в обеспечении жильем молодых семей» (далее – подпрограмма 3) связана с решением следующих задач: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а) задача 1 «Содействие в решении жилищных проблем молодых семей»;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б) задача 2 «Информирование молодых граждан о предоставляемых   государством мерах поддержки молодых семей в решении жилищных проблем».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«Содействие в решении жилищных проблем молодых семей» оценивается с помощью следующих показателей:</w:t>
      </w:r>
    </w:p>
    <w:p w:rsidR="00A83D8C" w:rsidRDefault="002A607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а) доля расходов муниципального образования, предусмотренных в рамках настоящей Программы.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«Информирование молодых граждан о предоставляемых государством мерах поддержки молодых семей в решении жилищных проблем» оценивается с помощью следующих показателей: 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количество молодых граждан, информированных о предоставляемых государством мерах поддержки молодых семей в решении жилищных проблем.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показателей задач подпрограммы 3 по годам реализации приведены в приложении 1 к настоящей Программе.</w:t>
      </w:r>
    </w:p>
    <w:p w:rsidR="00A83D8C" w:rsidRDefault="00A83D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 Мероприятия подпрограммы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Решение задачи 1 «Содействие в решении жилищных проблем молодых семей» осуществляется посредством выполнения следующих административных мероприятий и мероприятий подпрограммы 3: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«Субсидии для оплаты социальной выплаты (дополнительной социальной выплаты) на приобретение (строительство) жилья молодым семьям»;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«Оформление свидетельств о праве на получение социальной выплаты (дополнительной социальной выплаты) на приобретение (строительство) жилья молодым семьям».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«Информирование молодых граждан о предоставляемых государством мерах поддержки молодых семей в решении жилищных проблем» осуществляется посредством выполнения следующих мероприятий подпрограммы 3: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административное мероприятие «Обеспечение распространения информационно-справочных материалов, о предоставляемых государством мерах поддержки молодых семей в решении жилищных проблем»;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«Осуществление приёма граждан и разъяснение молодым семьям о существующих мерах поддержки молодых семей в решении жилищных проблем в Администрации Кашинского городского округа».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административного мероприятия и мероприятия подпрограммы 3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A83D8C" w:rsidRDefault="00A83D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Механизм предоставления бюджетных ассигнований для выполнения мероприятий подпрограммы</w:t>
      </w:r>
    </w:p>
    <w:p w:rsidR="00A83D8C" w:rsidRDefault="00A83D8C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Бюджетные ассигнования для выполнения мероприятий подпрограммы 3, представляются в соответствии с: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Правилами предоставления молодым семьям социальных выплат на приобретение (строительство) жилья и их использования, которые являются  приложением №1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17.12.2010 № 1050;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Порядком предоставления молодым семьям социальных выплат на приобретение (строительство) жилья в Тверской области, который является приложением 7 к государственной программе Тверской области «Молодежь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>» на 2021-2026 годы, утвержденной Постановлением Правительства Тверской области от 07.04.2021 № 195-пп (с 01.01.2021);</w:t>
      </w:r>
    </w:p>
    <w:p w:rsidR="00A83D8C" w:rsidRDefault="002A607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3.Порядок предоставления молодым семьям - </w:t>
      </w:r>
      <w:r w:rsidRPr="00604870">
        <w:rPr>
          <w:rFonts w:ascii="Times New Roman" w:hAnsi="Times New Roman"/>
          <w:color w:val="auto"/>
          <w:sz w:val="28"/>
        </w:rPr>
        <w:t xml:space="preserve">участникам </w:t>
      </w:r>
      <w:hyperlink r:id="rId7" w:history="1">
        <w:r w:rsidRPr="00604870">
          <w:rPr>
            <w:rFonts w:ascii="Times New Roman" w:hAnsi="Times New Roman"/>
            <w:color w:val="auto"/>
            <w:sz w:val="28"/>
          </w:rPr>
          <w:t>подпрограммы</w:t>
        </w:r>
      </w:hyperlink>
      <w:r w:rsidRPr="00604870">
        <w:rPr>
          <w:rFonts w:ascii="Times New Roman" w:hAnsi="Times New Roman"/>
          <w:color w:val="auto"/>
          <w:sz w:val="28"/>
        </w:rPr>
        <w:t xml:space="preserve"> «Содействие в решении социально-экономических проблем молодых</w:t>
      </w:r>
      <w:r>
        <w:rPr>
          <w:rFonts w:ascii="Times New Roman" w:hAnsi="Times New Roman"/>
          <w:sz w:val="28"/>
        </w:rPr>
        <w:t xml:space="preserve"> семей и </w:t>
      </w:r>
      <w:r>
        <w:rPr>
          <w:rFonts w:ascii="Times New Roman" w:hAnsi="Times New Roman"/>
          <w:sz w:val="28"/>
        </w:rPr>
        <w:lastRenderedPageBreak/>
        <w:t xml:space="preserve">формирование ценностей семейной культуры в молодежной среде» государственной программы Тверской области «Молодежь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 xml:space="preserve">» на 2021 - 2026 годы дополнительной социальной выплаты для погашения части кредита или займа либо для компенсации затраченных собственных средств на приобретение (строительство) жилья при рождении (усыновлении) одного ребенка, который является приложением 8 к государственной программе Тверской области «Молодежь </w:t>
      </w:r>
      <w:proofErr w:type="spellStart"/>
      <w:r>
        <w:rPr>
          <w:rFonts w:ascii="Times New Roman" w:hAnsi="Times New Roman"/>
          <w:sz w:val="28"/>
        </w:rPr>
        <w:t>Верхневолжья</w:t>
      </w:r>
      <w:proofErr w:type="spellEnd"/>
      <w:r>
        <w:rPr>
          <w:rFonts w:ascii="Times New Roman" w:hAnsi="Times New Roman"/>
          <w:sz w:val="28"/>
        </w:rPr>
        <w:t>» на 2021-2026 годы, утвержденной Постановлением Правительства Тверской области от 07.04.2021 № 195-пп (с 01.01.2021).</w:t>
      </w:r>
    </w:p>
    <w:p w:rsidR="00A83D8C" w:rsidRDefault="00A83D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3D8C" w:rsidRDefault="002A607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 Объем финансовых ресурсов, необходимый для реализации подпрограммы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на реализацию подпрограммы 3 за счет средств местного, областного, федерального бюджетов составляет – </w:t>
      </w:r>
      <w:r w:rsidR="00C7165E">
        <w:rPr>
          <w:rFonts w:ascii="Times New Roman" w:hAnsi="Times New Roman"/>
          <w:sz w:val="28"/>
        </w:rPr>
        <w:t>6048,0</w:t>
      </w:r>
      <w:r>
        <w:rPr>
          <w:rFonts w:ascii="Times New Roman" w:hAnsi="Times New Roman"/>
          <w:sz w:val="28"/>
        </w:rPr>
        <w:t xml:space="preserve"> тыс. руб.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Объем бюджетных средств на реализацию подпрограммы 3 по годам реализации программы в разрезе задач приведен в таблице 3.</w:t>
      </w:r>
    </w:p>
    <w:p w:rsidR="00A83D8C" w:rsidRDefault="002A607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Табл. 3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993"/>
        <w:gridCol w:w="993"/>
        <w:gridCol w:w="1135"/>
        <w:gridCol w:w="994"/>
        <w:gridCol w:w="993"/>
        <w:gridCol w:w="851"/>
      </w:tblGrid>
      <w:tr w:rsidR="00A83D8C">
        <w:trPr>
          <w:trHeight w:val="761"/>
        </w:trPr>
        <w:tc>
          <w:tcPr>
            <w:tcW w:w="3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83D8C" w:rsidRDefault="00A83D8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подпрограммы</w:t>
            </w:r>
          </w:p>
        </w:tc>
        <w:tc>
          <w:tcPr>
            <w:tcW w:w="59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Финансовые ресурсы, необходимые для реализации подпрограммы 3 </w:t>
            </w:r>
          </w:p>
          <w:p w:rsidR="00A83D8C" w:rsidRDefault="002A607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(в тыс. руб.)</w:t>
            </w:r>
          </w:p>
        </w:tc>
      </w:tr>
      <w:tr w:rsidR="00A83D8C">
        <w:trPr>
          <w:trHeight w:val="582"/>
        </w:trPr>
        <w:tc>
          <w:tcPr>
            <w:tcW w:w="3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left="8" w:hanging="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 год</w:t>
            </w: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ind w:firstLine="5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2028 год</w:t>
            </w: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83D8C">
        <w:trPr>
          <w:trHeight w:val="574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«Содействие в решении жилищных проблем молодых семей»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C71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3024</w:t>
            </w:r>
            <w:r w:rsidR="002300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</w:tr>
      <w:tr w:rsidR="00A83D8C">
        <w:trPr>
          <w:trHeight w:val="1327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«Информирование молодых граждан о предоставляемых государством мерах поддержки молодых семей в решении жилищных проблем»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83D8C" w:rsidRDefault="00A83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83D8C">
        <w:trPr>
          <w:trHeight w:val="353"/>
        </w:trPr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C71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3024</w:t>
            </w:r>
            <w:r w:rsidR="0023002E">
              <w:rPr>
                <w:rFonts w:ascii="Times New Roman" w:hAnsi="Times New Roman"/>
                <w:sz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D8C" w:rsidRDefault="002A60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604,8</w:t>
            </w:r>
          </w:p>
        </w:tc>
      </w:tr>
    </w:tbl>
    <w:p w:rsidR="00A83D8C" w:rsidRDefault="00A83D8C">
      <w:pPr>
        <w:spacing w:after="0" w:line="240" w:lineRule="auto"/>
      </w:pPr>
    </w:p>
    <w:sectPr w:rsidR="00A83D8C" w:rsidSect="00DE41F5">
      <w:headerReference w:type="default" r:id="rId8"/>
      <w:pgSz w:w="11906" w:h="16838"/>
      <w:pgMar w:top="28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4080" w:rsidRDefault="00474080">
      <w:pPr>
        <w:spacing w:after="0" w:line="240" w:lineRule="auto"/>
      </w:pPr>
      <w:r>
        <w:separator/>
      </w:r>
    </w:p>
  </w:endnote>
  <w:endnote w:type="continuationSeparator" w:id="0">
    <w:p w:rsidR="00474080" w:rsidRDefault="0047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4080" w:rsidRDefault="00474080">
      <w:pPr>
        <w:spacing w:after="0" w:line="240" w:lineRule="auto"/>
      </w:pPr>
      <w:r>
        <w:separator/>
      </w:r>
    </w:p>
  </w:footnote>
  <w:footnote w:type="continuationSeparator" w:id="0">
    <w:p w:rsidR="00474080" w:rsidRDefault="00474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3D8C" w:rsidRDefault="002A6071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7A33FE">
      <w:rPr>
        <w:noProof/>
      </w:rPr>
      <w:t>14</w:t>
    </w:r>
    <w:r>
      <w:fldChar w:fldCharType="end"/>
    </w:r>
  </w:p>
  <w:p w:rsidR="00A83D8C" w:rsidRDefault="00A83D8C">
    <w:pPr>
      <w:pStyle w:val="a5"/>
      <w:jc w:val="center"/>
    </w:pPr>
  </w:p>
  <w:p w:rsidR="00A83D8C" w:rsidRDefault="00A83D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8C"/>
    <w:rsid w:val="000448C7"/>
    <w:rsid w:val="000A59B3"/>
    <w:rsid w:val="000C75DB"/>
    <w:rsid w:val="0023002E"/>
    <w:rsid w:val="002A6071"/>
    <w:rsid w:val="00322DE5"/>
    <w:rsid w:val="0036414B"/>
    <w:rsid w:val="003A3F1C"/>
    <w:rsid w:val="00400F06"/>
    <w:rsid w:val="00474080"/>
    <w:rsid w:val="004B68F7"/>
    <w:rsid w:val="00504E9A"/>
    <w:rsid w:val="005060F8"/>
    <w:rsid w:val="00514CF0"/>
    <w:rsid w:val="00604870"/>
    <w:rsid w:val="00633820"/>
    <w:rsid w:val="00655C3D"/>
    <w:rsid w:val="007A33FE"/>
    <w:rsid w:val="007D6FD0"/>
    <w:rsid w:val="009B6F62"/>
    <w:rsid w:val="009E301E"/>
    <w:rsid w:val="009E4C5C"/>
    <w:rsid w:val="00A66DFB"/>
    <w:rsid w:val="00A83D8C"/>
    <w:rsid w:val="00B2476E"/>
    <w:rsid w:val="00B63D68"/>
    <w:rsid w:val="00BA6D00"/>
    <w:rsid w:val="00C7165E"/>
    <w:rsid w:val="00CE635B"/>
    <w:rsid w:val="00D159DB"/>
    <w:rsid w:val="00DE41F5"/>
    <w:rsid w:val="00E868F4"/>
    <w:rsid w:val="00F64CBF"/>
    <w:rsid w:val="00F905D6"/>
    <w:rsid w:val="00FA6197"/>
    <w:rsid w:val="00F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A6BD"/>
  <w15:docId w15:val="{2CE47418-E420-4E30-844D-9BD64A6B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a6">
    <w:name w:val="Верхний колонтитул Знак"/>
    <w:basedOn w:val="1"/>
    <w:link w:val="a5"/>
    <w:rPr>
      <w:rFonts w:ascii="Calibri" w:hAnsi="Calibri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78F1D35C9F7A2E7A14D5CCDF806B059562FB979D205D50C6BF8CDD8F7ADFE94AA2CA2F1B2A70F332CC4652C90D5430FB88AF59731F668E4F555CC7e25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D4396-3B34-4F6F-ACFF-7B2DE5A1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3962</Words>
  <Characters>22585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Имущество-4</dc:creator>
  <cp:lastModifiedBy>Имущество-4</cp:lastModifiedBy>
  <cp:revision>8</cp:revision>
  <cp:lastPrinted>2023-02-09T08:32:00Z</cp:lastPrinted>
  <dcterms:created xsi:type="dcterms:W3CDTF">2023-01-11T06:24:00Z</dcterms:created>
  <dcterms:modified xsi:type="dcterms:W3CDTF">2023-10-13T07:30:00Z</dcterms:modified>
</cp:coreProperties>
</file>