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40B" w:rsidRDefault="0022269F">
      <w:pPr>
        <w:spacing w:after="58"/>
        <w:ind w:left="10" w:right="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ТВЕРСКАЯ ОБЛАСТЬ </w:t>
      </w:r>
    </w:p>
    <w:p w:rsidR="003A540B" w:rsidRDefault="0022269F">
      <w:pPr>
        <w:spacing w:after="0"/>
        <w:ind w:right="4"/>
        <w:jc w:val="center"/>
      </w:pPr>
      <w:r>
        <w:rPr>
          <w:noProof/>
        </w:rPr>
        <w:drawing>
          <wp:inline distT="0" distB="0" distL="0" distR="0">
            <wp:extent cx="675005" cy="8394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A540B" w:rsidRDefault="0022269F">
      <w:pPr>
        <w:spacing w:after="31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КАШИНСКОГО ГОРОДСКОГО ОКРУГА </w:t>
      </w:r>
    </w:p>
    <w:p w:rsidR="003A540B" w:rsidRDefault="0022269F">
      <w:pPr>
        <w:spacing w:after="172"/>
        <w:ind w:righ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A540B" w:rsidRDefault="0022269F">
      <w:pPr>
        <w:spacing w:after="140"/>
        <w:ind w:right="7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 О С Т А Н О В Л Е Н И Е </w:t>
      </w:r>
    </w:p>
    <w:p w:rsidR="003A540B" w:rsidRDefault="00847838">
      <w:pPr>
        <w:tabs>
          <w:tab w:val="center" w:pos="4726"/>
          <w:tab w:val="center" w:pos="7732"/>
        </w:tabs>
        <w:spacing w:after="3" w:line="26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О</w:t>
      </w:r>
      <w:r w:rsidR="0022269F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30.06.2023</w:t>
      </w:r>
      <w:r w:rsidR="0022269F">
        <w:rPr>
          <w:rFonts w:ascii="Times New Roman" w:eastAsia="Times New Roman" w:hAnsi="Times New Roman" w:cs="Times New Roman"/>
          <w:sz w:val="28"/>
        </w:rPr>
        <w:tab/>
        <w:t xml:space="preserve">г. Кашин </w:t>
      </w:r>
      <w:r w:rsidR="0022269F">
        <w:rPr>
          <w:rFonts w:ascii="Times New Roman" w:eastAsia="Times New Roman" w:hAnsi="Times New Roman" w:cs="Times New Roman"/>
          <w:sz w:val="28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</w:rPr>
        <w:t>418</w:t>
      </w:r>
      <w:bookmarkStart w:id="0" w:name="_GoBack"/>
      <w:bookmarkEnd w:id="0"/>
    </w:p>
    <w:p w:rsidR="003A540B" w:rsidRDefault="0022269F">
      <w:pPr>
        <w:spacing w:after="11"/>
        <w:ind w:left="365"/>
      </w:pPr>
      <w:r>
        <w:rPr>
          <w:noProof/>
        </w:rPr>
        <mc:AlternateContent>
          <mc:Choice Requires="wpg">
            <w:drawing>
              <wp:inline distT="0" distB="0" distL="0" distR="0">
                <wp:extent cx="5890057" cy="6096"/>
                <wp:effectExtent l="0" t="0" r="0" b="0"/>
                <wp:docPr id="15220" name="Group 15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057" cy="6096"/>
                          <a:chOff x="0" y="0"/>
                          <a:chExt cx="5890057" cy="6096"/>
                        </a:xfrm>
                      </wpg:grpSpPr>
                      <wps:wsp>
                        <wps:cNvPr id="15680" name="Shape 15680"/>
                        <wps:cNvSpPr/>
                        <wps:spPr>
                          <a:xfrm>
                            <a:off x="0" y="0"/>
                            <a:ext cx="1268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3" h="9144">
                                <a:moveTo>
                                  <a:pt x="0" y="0"/>
                                </a:moveTo>
                                <a:lnTo>
                                  <a:pt x="1268273" y="0"/>
                                </a:lnTo>
                                <a:lnTo>
                                  <a:pt x="1268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1" name="Shape 15681"/>
                        <wps:cNvSpPr/>
                        <wps:spPr>
                          <a:xfrm>
                            <a:off x="4621784" y="0"/>
                            <a:ext cx="1268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3" h="9144">
                                <a:moveTo>
                                  <a:pt x="0" y="0"/>
                                </a:moveTo>
                                <a:lnTo>
                                  <a:pt x="1268273" y="0"/>
                                </a:lnTo>
                                <a:lnTo>
                                  <a:pt x="1268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20" style="width:463.784pt;height:0.47998pt;mso-position-horizontal-relative:char;mso-position-vertical-relative:line" coordsize="58900,60">
                <v:shape id="Shape 15682" style="position:absolute;width:12682;height:91;left:0;top:0;" coordsize="1268273,9144" path="m0,0l1268273,0l1268273,9144l0,9144l0,0">
                  <v:stroke weight="0pt" endcap="flat" joinstyle="miter" miterlimit="10" on="false" color="#000000" opacity="0"/>
                  <v:fill on="true" color="#000000"/>
                </v:shape>
                <v:shape id="Shape 15683" style="position:absolute;width:12682;height:91;left:46217;top:0;" coordsize="1268273,9144" path="m0,0l1268273,0l12682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540B" w:rsidRDefault="002226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Pr="00D120D2" w:rsidRDefault="0022269F" w:rsidP="00D120D2">
      <w:pPr>
        <w:spacing w:after="48" w:line="267" w:lineRule="auto"/>
        <w:ind w:right="5041"/>
        <w:jc w:val="both"/>
        <w:rPr>
          <w:sz w:val="28"/>
          <w:szCs w:val="28"/>
        </w:rPr>
      </w:pPr>
      <w:r w:rsidRPr="00D120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D120D2" w:rsidRPr="00D120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20D2">
        <w:rPr>
          <w:rFonts w:ascii="Times New Roman" w:eastAsia="Times New Roman" w:hAnsi="Times New Roman" w:cs="Times New Roman"/>
          <w:sz w:val="28"/>
          <w:szCs w:val="28"/>
        </w:rPr>
        <w:t xml:space="preserve">еречня нормативных правовых актов (их отдельных частей), </w:t>
      </w:r>
      <w:r w:rsidR="004D3545" w:rsidRPr="00D120D2">
        <w:rPr>
          <w:rFonts w:ascii="Times New Roman" w:eastAsia="Times New Roman" w:hAnsi="Times New Roman" w:cs="Times New Roman"/>
          <w:sz w:val="28"/>
          <w:szCs w:val="28"/>
        </w:rPr>
        <w:t>содержащих требования</w:t>
      </w:r>
      <w:r w:rsidRPr="00D120D2">
        <w:rPr>
          <w:rFonts w:ascii="Times New Roman" w:eastAsia="Times New Roman" w:hAnsi="Times New Roman" w:cs="Times New Roman"/>
          <w:sz w:val="28"/>
          <w:szCs w:val="28"/>
        </w:rPr>
        <w:t xml:space="preserve">, оценка соблюдения которых является предметом муниципального </w:t>
      </w:r>
      <w:r w:rsidR="008714F4" w:rsidRPr="00D120D2">
        <w:rPr>
          <w:rFonts w:ascii="Times New Roman" w:eastAsia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</w:p>
    <w:p w:rsidR="003A540B" w:rsidRDefault="002226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3" w:line="268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1680,</w:t>
      </w:r>
      <w:r w:rsidR="003C1A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Уставом Кашинского городского округа Тверской области, Администрация Кашинского городского округа </w:t>
      </w:r>
    </w:p>
    <w:p w:rsidR="003A540B" w:rsidRDefault="0022269F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3" w:line="268" w:lineRule="auto"/>
        <w:ind w:left="-15" w:right="5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ПОСТАНОВЛЯЕТ: </w:t>
      </w:r>
    </w:p>
    <w:p w:rsidR="003A540B" w:rsidRDefault="0022269F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 w:rsidP="008714F4">
      <w:pPr>
        <w:numPr>
          <w:ilvl w:val="0"/>
          <w:numId w:val="1"/>
        </w:numPr>
        <w:spacing w:after="3" w:line="268" w:lineRule="auto"/>
        <w:ind w:right="5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перечень нормативных правовых актов (их отдельных частей), содержащих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Тверской области, требования, установленные муниципальными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правовыми актами Кашинского городского округа Тверской области, оценка соблюдения которых является предметом муниципального</w:t>
      </w:r>
      <w:r w:rsidRPr="0087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F4" w:rsidRPr="008714F4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8714F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(приложение). </w:t>
      </w:r>
    </w:p>
    <w:p w:rsidR="003A540B" w:rsidRDefault="0022269F">
      <w:pPr>
        <w:numPr>
          <w:ilvl w:val="0"/>
          <w:numId w:val="1"/>
        </w:numPr>
        <w:spacing w:after="3" w:line="268" w:lineRule="auto"/>
        <w:ind w:right="5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  <w:r w:rsidR="008714F4">
        <w:rPr>
          <w:rFonts w:ascii="Times New Roman" w:eastAsia="Times New Roman" w:hAnsi="Times New Roman" w:cs="Times New Roman"/>
          <w:sz w:val="28"/>
        </w:rPr>
        <w:t>заместителя Главы Кашинского городского округа, заведующего отделом по строительству, транспорту, связи и жилищно-коммунальному хозяйству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714F4">
        <w:rPr>
          <w:rFonts w:ascii="Times New Roman" w:eastAsia="Times New Roman" w:hAnsi="Times New Roman" w:cs="Times New Roman"/>
          <w:sz w:val="28"/>
        </w:rPr>
        <w:t>В.В. Фокеева.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0021D2">
      <w:pPr>
        <w:numPr>
          <w:ilvl w:val="0"/>
          <w:numId w:val="1"/>
        </w:numPr>
        <w:spacing w:after="3" w:line="268" w:lineRule="auto"/>
        <w:ind w:right="54" w:firstLine="698"/>
        <w:jc w:val="both"/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0021D2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</w:t>
      </w:r>
      <w:r w:rsidR="0022269F" w:rsidRPr="000021D2">
        <w:rPr>
          <w:rFonts w:ascii="Times New Roman" w:eastAsia="Times New Roman" w:hAnsi="Times New Roman" w:cs="Times New Roman"/>
          <w:sz w:val="28"/>
        </w:rPr>
        <w:t>.</w:t>
      </w:r>
      <w:r w:rsidR="0022269F"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3" w:line="268" w:lineRule="auto"/>
        <w:ind w:left="-15" w:right="5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Глава Кашинского городского округа                                                 Г.Г. Баландин </w:t>
      </w:r>
      <w:r>
        <w:br w:type="page"/>
      </w:r>
    </w:p>
    <w:tbl>
      <w:tblPr>
        <w:tblpPr w:leftFromText="180" w:rightFromText="180" w:vertAnchor="text" w:horzAnchor="margin" w:tblpY="-682"/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F14A78" w:rsidRPr="00F14A78" w:rsidTr="00F14A78">
        <w:trPr>
          <w:trHeight w:val="1978"/>
        </w:trPr>
        <w:tc>
          <w:tcPr>
            <w:tcW w:w="5211" w:type="dxa"/>
            <w:shd w:val="clear" w:color="auto" w:fill="auto"/>
          </w:tcPr>
          <w:p w:rsidR="00F14A78" w:rsidRPr="00F14A78" w:rsidRDefault="00F14A78" w:rsidP="00F14A78">
            <w:pPr>
              <w:spacing w:after="0" w:line="240" w:lineRule="auto"/>
              <w:jc w:val="both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428" w:type="dxa"/>
            <w:shd w:val="clear" w:color="auto" w:fill="auto"/>
          </w:tcPr>
          <w:p w:rsidR="00F14A78" w:rsidRPr="00F14A78" w:rsidRDefault="00F14A78" w:rsidP="00F14A78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14A78">
              <w:rPr>
                <w:rFonts w:ascii="Times New Roman" w:hAnsi="Times New Roman" w:cs="Times New Roman"/>
                <w:color w:val="auto"/>
                <w:lang w:eastAsia="en-US"/>
              </w:rPr>
              <w:t>СОГЛАСОВАНИЕ к постановлению Администрации Кашинского городского округа «</w:t>
            </w:r>
            <w:r w:rsidRPr="00F14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A78">
              <w:rPr>
                <w:rFonts w:ascii="Times New Roman" w:hAnsi="Times New Roman" w:cs="Times New Roman"/>
                <w:color w:val="auto"/>
                <w:lang w:eastAsia="en-US"/>
              </w:rPr>
              <w:t>Об утверждении Перечня нормативных правовых актов (их отдельных частей), содержащих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»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от __________ № ___</w:t>
            </w:r>
          </w:p>
        </w:tc>
      </w:tr>
    </w:tbl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СОГЛАСОВАНО</w:t>
      </w:r>
    </w:p>
    <w:p w:rsidR="00F14A78" w:rsidRPr="00F14A78" w:rsidRDefault="00F14A78" w:rsidP="00F14A7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Заместитель Главы Администрации </w:t>
      </w: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Кашинского городского округа, </w:t>
      </w: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заведующий отделом </w:t>
      </w: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строительству, транспорту, связи и ЖКХ </w:t>
      </w:r>
    </w:p>
    <w:p w:rsidR="00F14A78" w:rsidRPr="00F14A78" w:rsidRDefault="00F14A78" w:rsidP="00F14A78">
      <w:pPr>
        <w:spacing w:after="0" w:line="240" w:lineRule="auto"/>
        <w:ind w:left="-1134" w:right="-4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Кашинского </w:t>
      </w:r>
    </w:p>
    <w:p w:rsidR="00F14A78" w:rsidRPr="00F14A78" w:rsidRDefault="00F14A78" w:rsidP="00F14A78">
      <w:pPr>
        <w:spacing w:after="0" w:line="240" w:lineRule="auto"/>
        <w:ind w:left="-1134" w:right="-4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округа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В.В. Фокеев</w:t>
      </w: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>«____» ____________ 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> г.</w:t>
      </w: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4A78" w:rsidRDefault="00F14A78" w:rsidP="00F14A78">
      <w:pPr>
        <w:spacing w:after="0" w:line="240" w:lineRule="auto"/>
        <w:ind w:left="-1134" w:right="-4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Главный специалист – эксперт отдела по </w:t>
      </w:r>
    </w:p>
    <w:p w:rsidR="00F14A78" w:rsidRDefault="00F14A78" w:rsidP="00F14A78">
      <w:pPr>
        <w:spacing w:after="0" w:line="240" w:lineRule="auto"/>
        <w:ind w:left="-1134" w:right="-4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строительству, транспорту, связи и ЖКХ</w:t>
      </w:r>
    </w:p>
    <w:p w:rsidR="00F14A78" w:rsidRPr="00F14A78" w:rsidRDefault="00F14A78" w:rsidP="00F14A78">
      <w:pPr>
        <w:spacing w:after="0" w:line="240" w:lineRule="auto"/>
        <w:ind w:left="-1134" w:right="-4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Я.А. Копылова</w:t>
      </w:r>
    </w:p>
    <w:p w:rsidR="00F14A78" w:rsidRPr="00F14A78" w:rsidRDefault="00F14A78" w:rsidP="00F14A7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>«____» ____________ 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F14A78">
        <w:rPr>
          <w:rFonts w:ascii="Times New Roman" w:eastAsia="Times New Roman" w:hAnsi="Times New Roman" w:cs="Times New Roman"/>
          <w:color w:val="auto"/>
          <w:sz w:val="28"/>
          <w:szCs w:val="28"/>
        </w:rPr>
        <w:t> г.</w:t>
      </w: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F14A78" w:rsidRDefault="00F14A78">
      <w:pPr>
        <w:spacing w:after="28"/>
        <w:ind w:right="1368"/>
        <w:jc w:val="right"/>
        <w:rPr>
          <w:rFonts w:ascii="Times New Roman" w:eastAsia="Times New Roman" w:hAnsi="Times New Roman" w:cs="Times New Roman"/>
          <w:sz w:val="28"/>
        </w:rPr>
      </w:pPr>
    </w:p>
    <w:p w:rsidR="003A540B" w:rsidRDefault="0022269F">
      <w:pPr>
        <w:spacing w:after="28"/>
        <w:ind w:right="1368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</w:p>
    <w:p w:rsidR="007E50FE" w:rsidRDefault="0022269F">
      <w:pPr>
        <w:spacing w:after="0" w:line="262" w:lineRule="auto"/>
        <w:ind w:left="5552" w:right="4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Кашинского городского округа </w:t>
      </w:r>
    </w:p>
    <w:p w:rsidR="003A540B" w:rsidRDefault="007E50FE">
      <w:pPr>
        <w:spacing w:after="0" w:line="262" w:lineRule="auto"/>
        <w:ind w:left="5552" w:right="48"/>
        <w:jc w:val="center"/>
      </w:pPr>
      <w:r>
        <w:rPr>
          <w:rFonts w:ascii="Times New Roman" w:eastAsia="Times New Roman" w:hAnsi="Times New Roman" w:cs="Times New Roman"/>
          <w:sz w:val="28"/>
        </w:rPr>
        <w:t>от _</w:t>
      </w:r>
      <w:r w:rsidR="00444919">
        <w:rPr>
          <w:rFonts w:ascii="Times New Roman" w:eastAsia="Times New Roman" w:hAnsi="Times New Roman" w:cs="Times New Roman"/>
          <w:sz w:val="28"/>
        </w:rPr>
        <w:t>________________</w:t>
      </w:r>
      <w:r w:rsidR="0022269F">
        <w:rPr>
          <w:rFonts w:ascii="Times New Roman" w:eastAsia="Times New Roman" w:hAnsi="Times New Roman" w:cs="Times New Roman"/>
          <w:sz w:val="28"/>
        </w:rPr>
        <w:t xml:space="preserve">№ </w:t>
      </w:r>
      <w:r w:rsidR="00444919">
        <w:rPr>
          <w:rFonts w:ascii="Times New Roman" w:eastAsia="Times New Roman" w:hAnsi="Times New Roman" w:cs="Times New Roman"/>
          <w:sz w:val="28"/>
        </w:rPr>
        <w:t>_____</w:t>
      </w:r>
      <w:r w:rsidR="0022269F"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Default="002226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540B" w:rsidRPr="007E50FE" w:rsidRDefault="0022269F">
      <w:pPr>
        <w:spacing w:after="28"/>
        <w:rPr>
          <w:color w:val="auto"/>
        </w:rPr>
      </w:pPr>
      <w:r w:rsidRPr="007E50F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3A540B" w:rsidRPr="007E50FE" w:rsidRDefault="0022269F">
      <w:pPr>
        <w:spacing w:after="15" w:line="271" w:lineRule="auto"/>
        <w:ind w:left="189" w:right="249" w:hanging="10"/>
        <w:jc w:val="center"/>
        <w:rPr>
          <w:color w:val="auto"/>
        </w:rPr>
      </w:pPr>
      <w:r w:rsidRPr="007E50FE">
        <w:rPr>
          <w:rFonts w:ascii="Times New Roman" w:eastAsia="Times New Roman" w:hAnsi="Times New Roman" w:cs="Times New Roman"/>
          <w:b/>
          <w:color w:val="auto"/>
          <w:sz w:val="28"/>
        </w:rPr>
        <w:t xml:space="preserve">ПЕРЕЧЕНЬ </w:t>
      </w:r>
    </w:p>
    <w:p w:rsidR="003A540B" w:rsidRPr="007E50FE" w:rsidRDefault="0022269F">
      <w:pPr>
        <w:spacing w:after="15" w:line="271" w:lineRule="auto"/>
        <w:ind w:left="189" w:right="252" w:hanging="10"/>
        <w:jc w:val="center"/>
        <w:rPr>
          <w:color w:val="auto"/>
        </w:rPr>
      </w:pPr>
      <w:r w:rsidRPr="007E50FE">
        <w:rPr>
          <w:rFonts w:ascii="Times New Roman" w:eastAsia="Times New Roman" w:hAnsi="Times New Roman" w:cs="Times New Roman"/>
          <w:b/>
          <w:color w:val="auto"/>
          <w:sz w:val="28"/>
        </w:rPr>
        <w:t xml:space="preserve">нормативных правовых актов (их отдельных частей), содержащих </w:t>
      </w:r>
    </w:p>
    <w:p w:rsidR="003A540B" w:rsidRPr="007E50FE" w:rsidRDefault="0022269F">
      <w:pPr>
        <w:spacing w:after="15" w:line="271" w:lineRule="auto"/>
        <w:ind w:left="189" w:right="182" w:hanging="10"/>
        <w:jc w:val="center"/>
        <w:rPr>
          <w:color w:val="auto"/>
        </w:rPr>
      </w:pPr>
      <w:r w:rsidRPr="007E50FE">
        <w:rPr>
          <w:rFonts w:ascii="Times New Roman" w:eastAsia="Times New Roman" w:hAnsi="Times New Roman" w:cs="Times New Roman"/>
          <w:b/>
          <w:color w:val="auto"/>
          <w:sz w:val="28"/>
        </w:rPr>
        <w:t xml:space="preserve">требования, установленные федеральными законами и принимаемыми в соответствии с ними иными нормативными правовыми актами </w:t>
      </w:r>
    </w:p>
    <w:p w:rsidR="000021D2" w:rsidRPr="007E50FE" w:rsidRDefault="0022269F" w:rsidP="000021D2">
      <w:pPr>
        <w:spacing w:after="15" w:line="271" w:lineRule="auto"/>
        <w:ind w:left="433" w:right="419" w:hanging="90"/>
        <w:jc w:val="center"/>
        <w:rPr>
          <w:color w:val="auto"/>
        </w:rPr>
      </w:pPr>
      <w:r w:rsidRPr="007E50FE">
        <w:rPr>
          <w:rFonts w:ascii="Times New Roman" w:eastAsia="Times New Roman" w:hAnsi="Times New Roman" w:cs="Times New Roman"/>
          <w:b/>
          <w:color w:val="auto"/>
          <w:sz w:val="28"/>
        </w:rPr>
        <w:t xml:space="preserve">Российской Федерации, законами и иными нормативными правовыми актами Тверской области, требования, установленные муниципальными </w:t>
      </w:r>
      <w:r w:rsidR="000021D2" w:rsidRPr="007E50FE">
        <w:rPr>
          <w:rFonts w:ascii="Times New Roman" w:eastAsia="Times New Roman" w:hAnsi="Times New Roman" w:cs="Times New Roman"/>
          <w:b/>
          <w:color w:val="auto"/>
          <w:sz w:val="28"/>
        </w:rPr>
        <w:t xml:space="preserve">правовыми актами Кашинского городского округа Тверской области, оценка соблюдения которых является предметом муниципального </w:t>
      </w:r>
      <w:r w:rsidR="000021D2" w:rsidRPr="007E50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0021D2" w:rsidRPr="007E50FE" w:rsidRDefault="000021D2" w:rsidP="007E50FE">
      <w:pPr>
        <w:pStyle w:val="a3"/>
        <w:numPr>
          <w:ilvl w:val="0"/>
          <w:numId w:val="5"/>
        </w:numPr>
        <w:spacing w:after="15" w:line="271" w:lineRule="auto"/>
        <w:ind w:right="251"/>
        <w:jc w:val="center"/>
        <w:rPr>
          <w:color w:val="auto"/>
        </w:rPr>
      </w:pPr>
      <w:r w:rsidRPr="007E50FE">
        <w:rPr>
          <w:rFonts w:ascii="Times New Roman" w:eastAsia="Times New Roman" w:hAnsi="Times New Roman" w:cs="Times New Roman"/>
          <w:b/>
          <w:color w:val="auto"/>
          <w:sz w:val="28"/>
        </w:rPr>
        <w:t>Федеральные законы</w:t>
      </w:r>
    </w:p>
    <w:p w:rsidR="003A540B" w:rsidRPr="007E50FE" w:rsidRDefault="003A540B">
      <w:pPr>
        <w:spacing w:after="15" w:line="271" w:lineRule="auto"/>
        <w:ind w:left="189" w:right="179" w:hanging="10"/>
        <w:jc w:val="center"/>
        <w:rPr>
          <w:color w:val="auto"/>
        </w:rPr>
      </w:pPr>
    </w:p>
    <w:tbl>
      <w:tblPr>
        <w:tblpPr w:leftFromText="180" w:rightFromText="180" w:vertAnchor="text" w:horzAnchor="page" w:tblpX="277" w:tblpY="120"/>
        <w:tblW w:w="11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544"/>
        <w:gridCol w:w="4394"/>
        <w:gridCol w:w="2501"/>
      </w:tblGrid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Земельный кодекс Российской Федерации</w:t>
              </w:r>
            </w:hyperlink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90</w:t>
            </w:r>
          </w:p>
        </w:tc>
      </w:tr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Градостроительный кодекс Российской Федерации от 29.12.2004г. № 190-ФЗ</w:t>
              </w:r>
            </w:hyperlink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19,23,49</w:t>
            </w:r>
          </w:p>
        </w:tc>
      </w:tr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 xml:space="preserve">Федеральный закон от 08.11.2007г. № 259-ФЗ "Устав автомобильного транспорта и </w:t>
              </w:r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lastRenderedPageBreak/>
                <w:t>городского наземного электрического транспорта"</w:t>
              </w:r>
            </w:hyperlink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Владельцы автомобильных дорог, организации осуществляющие ремонт и содержание автомобильных дорог, </w:t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владельцы объектов придорожной инфраструктуры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ст. 3, ст. 6, ст.7</w:t>
            </w:r>
          </w:p>
        </w:tc>
      </w:tr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12,13</w:t>
            </w:r>
          </w:p>
        </w:tc>
      </w:tr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13,13.1,19,20,22,25,26,29</w:t>
            </w:r>
          </w:p>
        </w:tc>
      </w:tr>
      <w:tr w:rsidR="007E50FE" w:rsidRPr="007E50FE" w:rsidTr="007E50FE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2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глава 7</w:t>
            </w:r>
          </w:p>
        </w:tc>
      </w:tr>
    </w:tbl>
    <w:p w:rsidR="003A540B" w:rsidRPr="007E50FE" w:rsidRDefault="003A540B" w:rsidP="007E50F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A540B" w:rsidRPr="007E50FE" w:rsidRDefault="003A540B" w:rsidP="007E50FE">
      <w:pPr>
        <w:spacing w:after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021D2" w:rsidRPr="007E50FE" w:rsidRDefault="000021D2" w:rsidP="007E50FE">
      <w:pPr>
        <w:pStyle w:val="a3"/>
        <w:numPr>
          <w:ilvl w:val="0"/>
          <w:numId w:val="5"/>
        </w:num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E50F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11170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546"/>
        <w:gridCol w:w="2876"/>
        <w:gridCol w:w="2233"/>
        <w:gridCol w:w="1778"/>
      </w:tblGrid>
      <w:tr w:rsidR="007E50FE" w:rsidRPr="007E50FE" w:rsidTr="007E50FE"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3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50FE" w:rsidRPr="007E50FE" w:rsidTr="007E50FE"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 xml:space="preserve">О минимально необходимых для обслуживания участников дорожного движения </w:t>
              </w:r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lastRenderedPageBreak/>
                <w:t>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Российской Федерации от 28.10.2020 № 1753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Владельцы автомобильных дорог, владельцы </w:t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объектов придорожной инфраструктуры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Оценивается в полном объеме</w:t>
            </w:r>
          </w:p>
        </w:tc>
      </w:tr>
      <w:tr w:rsidR="007E50FE" w:rsidRPr="007E50FE" w:rsidTr="007E50FE"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Об утверждении Правил перевозок пассажиров и багажа автомобильным транспортом и городским наземным электрическим транспортом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Постановление Правительства Российской Федерации от 01.10.2020г. № 1586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глава 2</w:t>
            </w:r>
          </w:p>
        </w:tc>
      </w:tr>
    </w:tbl>
    <w:p w:rsidR="000021D2" w:rsidRPr="007E50FE" w:rsidRDefault="000021D2" w:rsidP="007E50FE">
      <w:pPr>
        <w:pStyle w:val="a3"/>
        <w:numPr>
          <w:ilvl w:val="0"/>
          <w:numId w:val="5"/>
        </w:num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E50F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1117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664"/>
        <w:gridCol w:w="2951"/>
        <w:gridCol w:w="2126"/>
        <w:gridCol w:w="1668"/>
      </w:tblGrid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О порядке проведения оценки технического состояния автомобильных дорог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Минтранса России от 07.08.2020 № 288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Оценивается в полном объеме</w:t>
            </w:r>
          </w:p>
        </w:tc>
      </w:tr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</w:t>
              </w:r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lastRenderedPageBreak/>
                <w:t>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Приказ Минтранса России от 10.08.2020 № 296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Владельцы автомобильных дорог, организации осуществляющие ремонт и содержание автомобильных </w:t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дорог, владельцы объектов придорожной инфраструктуры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Оценивается в полном объеме</w:t>
            </w:r>
          </w:p>
        </w:tc>
      </w:tr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СП 34.13330.2012. Свод правил. Автомобильные дороги. Актуализированная редакция СНиП 2.05.02-85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Минрегиона России от 30.06.2012 № 266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Оценивается в полном объеме</w:t>
            </w:r>
          </w:p>
        </w:tc>
      </w:tr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ГОСТ 33181-2014. Межгосударственный стандарт. Дороги автомобильные общего пользования. Требования к уровню зимнего содержания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Росстандарта от 11.08.2015 № 1121-ст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Оценивается в полном объеме</w:t>
            </w:r>
          </w:p>
        </w:tc>
      </w:tr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ГОСТ 33180-2014. Межгосударственный стандарт. Дороги автомобильные общего пользования. Требования к уровню летнего содержания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Росстандарта от 11.08.2015 № 1120-ст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Оценивается в полном объеме</w:t>
            </w:r>
          </w:p>
        </w:tc>
      </w:tr>
      <w:tr w:rsidR="007E50FE" w:rsidRPr="007E50FE" w:rsidTr="007E50FE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ГОСТ 33062-2014. Межгосударственный стандарт. Дороги автомобильные общего пользования. Требования к размещению объектов дорожного и придорожного сервиса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Росстандарта от 14.08.2015 № 1163-ст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Оценивается в полном объеме</w:t>
            </w:r>
          </w:p>
        </w:tc>
      </w:tr>
    </w:tbl>
    <w:p w:rsidR="000021D2" w:rsidRPr="007E50FE" w:rsidRDefault="00A0506A" w:rsidP="007E50F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0021D2" w:rsidRPr="007E50FE" w:rsidRDefault="000021D2" w:rsidP="007E50FE">
      <w:pPr>
        <w:pStyle w:val="a3"/>
        <w:numPr>
          <w:ilvl w:val="0"/>
          <w:numId w:val="5"/>
        </w:num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E50F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lastRenderedPageBreak/>
        <w:t>Информация о мерах ответственности, применяемых при нарушении обязательных требований</w:t>
      </w:r>
    </w:p>
    <w:tbl>
      <w:tblPr>
        <w:tblW w:w="11057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771"/>
        <w:gridCol w:w="7005"/>
      </w:tblGrid>
      <w:tr w:rsidR="007E50FE" w:rsidRPr="007E50FE" w:rsidTr="007E50FE">
        <w:tc>
          <w:tcPr>
            <w:tcW w:w="2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7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Содержание акта</w:t>
            </w:r>
          </w:p>
        </w:tc>
      </w:tr>
      <w:tr w:rsidR="007E50FE" w:rsidRPr="007E50FE" w:rsidTr="007E50FE">
        <w:tc>
          <w:tcPr>
            <w:tcW w:w="2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A0506A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="000021D2" w:rsidRPr="007E50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bdr w:val="none" w:sz="0" w:space="0" w:color="auto" w:frame="1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часть 1 статьи 19.4</w:t>
            </w:r>
          </w:p>
        </w:tc>
        <w:tc>
          <w:tcPr>
            <w:tcW w:w="7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7E50FE" w:rsidRPr="007E50FE" w:rsidTr="007E50FE">
        <w:tc>
          <w:tcPr>
            <w:tcW w:w="2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статья 19.4.1</w:t>
            </w:r>
          </w:p>
        </w:tc>
        <w:tc>
          <w:tcPr>
            <w:tcW w:w="7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0021D2" w:rsidRPr="007E50FE" w:rsidRDefault="000021D2" w:rsidP="007E50F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0021D2" w:rsidRPr="007E50FE" w:rsidRDefault="000021D2" w:rsidP="007E5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7E50FE" w:rsidRPr="007E50FE" w:rsidTr="007E50FE">
        <w:tc>
          <w:tcPr>
            <w:tcW w:w="2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часть 1 статьи 19.5</w:t>
            </w:r>
          </w:p>
        </w:tc>
        <w:tc>
          <w:tcPr>
            <w:tcW w:w="7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</w:t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7E50FE" w:rsidRPr="007E50FE" w:rsidTr="007E50FE">
        <w:tc>
          <w:tcPr>
            <w:tcW w:w="2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статья 19.7</w:t>
            </w:r>
          </w:p>
        </w:tc>
        <w:tc>
          <w:tcPr>
            <w:tcW w:w="7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0021D2" w:rsidRPr="007E50FE" w:rsidRDefault="000021D2" w:rsidP="007E5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br/>
            </w:r>
            <w:r w:rsidRPr="007E5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0021D2" w:rsidRPr="007E50FE" w:rsidRDefault="000021D2" w:rsidP="007E50FE">
      <w:pPr>
        <w:pStyle w:val="a3"/>
        <w:ind w:left="496"/>
        <w:rPr>
          <w:rFonts w:ascii="Times New Roman" w:hAnsi="Times New Roman" w:cs="Times New Roman"/>
          <w:color w:val="auto"/>
          <w:sz w:val="24"/>
          <w:szCs w:val="24"/>
        </w:rPr>
      </w:pPr>
    </w:p>
    <w:p w:rsidR="003A540B" w:rsidRPr="007E50FE" w:rsidRDefault="0022269F" w:rsidP="0059762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3A540B" w:rsidRPr="007E50FE" w:rsidSect="00F14A78">
          <w:headerReference w:type="default" r:id="rId23"/>
          <w:pgSz w:w="11906" w:h="16838"/>
          <w:pgMar w:top="717" w:right="707" w:bottom="1279" w:left="1702" w:header="720" w:footer="720" w:gutter="0"/>
          <w:cols w:space="720"/>
        </w:sectPr>
      </w:pPr>
      <w:r w:rsidRPr="007E5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540B" w:rsidRPr="007E50FE" w:rsidRDefault="003A54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40B" w:rsidRPr="007E50FE">
      <w:headerReference w:type="even" r:id="rId24"/>
      <w:headerReference w:type="default" r:id="rId25"/>
      <w:headerReference w:type="first" r:id="rId26"/>
      <w:pgSz w:w="11906" w:h="16838"/>
      <w:pgMar w:top="1265" w:right="1088" w:bottom="1169" w:left="1702" w:header="717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506A" w:rsidRDefault="00A0506A">
      <w:pPr>
        <w:spacing w:after="0" w:line="240" w:lineRule="auto"/>
      </w:pPr>
      <w:r>
        <w:separator/>
      </w:r>
    </w:p>
  </w:endnote>
  <w:endnote w:type="continuationSeparator" w:id="0">
    <w:p w:rsidR="00A0506A" w:rsidRDefault="00A0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506A" w:rsidRDefault="00A0506A">
      <w:pPr>
        <w:spacing w:after="0" w:line="240" w:lineRule="auto"/>
      </w:pPr>
      <w:r>
        <w:separator/>
      </w:r>
    </w:p>
  </w:footnote>
  <w:footnote w:type="continuationSeparator" w:id="0">
    <w:p w:rsidR="00A0506A" w:rsidRDefault="00A0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0FE" w:rsidRPr="007E50FE" w:rsidRDefault="007E50FE" w:rsidP="007E50FE">
    <w:pPr>
      <w:pStyle w:val="a6"/>
      <w:jc w:val="right"/>
      <w:rPr>
        <w:rFonts w:ascii="Times New Roman" w:hAnsi="Times New Roman" w:cs="Times New Roman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540B" w:rsidRDefault="0022269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540B" w:rsidRDefault="0022269F">
    <w:pPr>
      <w:spacing w:after="0"/>
      <w:ind w:left="5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A540B" w:rsidRDefault="0022269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540B" w:rsidRDefault="0022269F">
    <w:pPr>
      <w:spacing w:after="0"/>
      <w:ind w:left="5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A540B" w:rsidRDefault="0022269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67F4"/>
    <w:multiLevelType w:val="hybridMultilevel"/>
    <w:tmpl w:val="397C9E62"/>
    <w:lvl w:ilvl="0" w:tplc="2118EA7C">
      <w:start w:val="1"/>
      <w:numFmt w:val="decimal"/>
      <w:lvlText w:val="%1."/>
      <w:lvlJc w:val="left"/>
      <w:pPr>
        <w:ind w:left="121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" w15:restartNumberingAfterBreak="0">
    <w:nsid w:val="3BFB3DF1"/>
    <w:multiLevelType w:val="hybridMultilevel"/>
    <w:tmpl w:val="C20E127A"/>
    <w:lvl w:ilvl="0" w:tplc="55B20100">
      <w:start w:val="1"/>
      <w:numFmt w:val="decimal"/>
      <w:lvlText w:val="%1"/>
      <w:lvlJc w:val="left"/>
      <w:pPr>
        <w:ind w:left="85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4FA40C81"/>
    <w:multiLevelType w:val="hybridMultilevel"/>
    <w:tmpl w:val="CDE6997C"/>
    <w:lvl w:ilvl="0" w:tplc="B99AE27E">
      <w:start w:val="1"/>
      <w:numFmt w:val="upperRoman"/>
      <w:lvlText w:val="%1."/>
      <w:lvlJc w:val="left"/>
      <w:pPr>
        <w:ind w:left="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ED7E6">
      <w:start w:val="1"/>
      <w:numFmt w:val="lowerLetter"/>
      <w:lvlText w:val="%2"/>
      <w:lvlJc w:val="left"/>
      <w:pPr>
        <w:ind w:left="2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6F6A6">
      <w:start w:val="1"/>
      <w:numFmt w:val="lowerRoman"/>
      <w:lvlText w:val="%3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83C4E">
      <w:start w:val="1"/>
      <w:numFmt w:val="decimal"/>
      <w:lvlText w:val="%4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AE390">
      <w:start w:val="1"/>
      <w:numFmt w:val="lowerLetter"/>
      <w:lvlText w:val="%5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231D0">
      <w:start w:val="1"/>
      <w:numFmt w:val="lowerRoman"/>
      <w:lvlText w:val="%6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00A16">
      <w:start w:val="1"/>
      <w:numFmt w:val="decimal"/>
      <w:lvlText w:val="%7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8CCAA">
      <w:start w:val="1"/>
      <w:numFmt w:val="lowerLetter"/>
      <w:lvlText w:val="%8"/>
      <w:lvlJc w:val="left"/>
      <w:pPr>
        <w:ind w:left="6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E13EE">
      <w:start w:val="1"/>
      <w:numFmt w:val="lowerRoman"/>
      <w:lvlText w:val="%9"/>
      <w:lvlJc w:val="left"/>
      <w:pPr>
        <w:ind w:left="7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952B91"/>
    <w:multiLevelType w:val="hybridMultilevel"/>
    <w:tmpl w:val="1D9AEEDE"/>
    <w:lvl w:ilvl="0" w:tplc="61626A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059C4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6497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C23B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073C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0837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0C470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C30BC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8269C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F06784"/>
    <w:multiLevelType w:val="hybridMultilevel"/>
    <w:tmpl w:val="D45EA8A0"/>
    <w:lvl w:ilvl="0" w:tplc="47AC02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0B"/>
    <w:rsid w:val="000021D2"/>
    <w:rsid w:val="00054AC9"/>
    <w:rsid w:val="0022269F"/>
    <w:rsid w:val="002B11FD"/>
    <w:rsid w:val="003A540B"/>
    <w:rsid w:val="003C1AC8"/>
    <w:rsid w:val="00444919"/>
    <w:rsid w:val="004D3545"/>
    <w:rsid w:val="00597622"/>
    <w:rsid w:val="005B5B8D"/>
    <w:rsid w:val="00785976"/>
    <w:rsid w:val="007E50FE"/>
    <w:rsid w:val="00847838"/>
    <w:rsid w:val="008714F4"/>
    <w:rsid w:val="00A0506A"/>
    <w:rsid w:val="00D120D2"/>
    <w:rsid w:val="00E9344D"/>
    <w:rsid w:val="00F14A78"/>
    <w:rsid w:val="00F25206"/>
    <w:rsid w:val="00F67B2A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270F"/>
  <w15:docId w15:val="{2BF48C8C-24E1-4FDC-9B85-DE55B01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21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50FE"/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7E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0FE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1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A7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inovaco.ru/media/project_mo_560/c2/ae/2a/75/a9/b4/zemelnyij-kodeks-rossijskoj-federatsii.doc" TargetMode="External"/><Relationship Id="rId13" Type="http://schemas.openxmlformats.org/officeDocument/2006/relationships/hyperlink" Target="https://xn--b1abhmjth6azg.xn--p1ai/mun_control/federalnyij-zakon-ot-13072015-n-220-fz-ob-organizatsii-regulyarnyih-perevozok-passazhirov-i-bagazha-avtomobilnyim-transportom-i-gorodskim-nazemnyim-elektricheskim-transportom-v-rossijskoj-feder.docx" TargetMode="External"/><Relationship Id="rId18" Type="http://schemas.openxmlformats.org/officeDocument/2006/relationships/hyperlink" Target="http://storage.inovaco.ru/media/project_mo_560/99/f8/7f/5c/6e/fa/svod-pravil-sp-34133302012-snip-20502-85_-avtomobilnyi.doc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storage.inovaco.ru/media/project_mo_560/20/5c/95/37/8a/1b/gost-33062-2014-mezhgosudarstvennyij-standart-dorogi-avtomob.rt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torage.inovaco.ru/media/project_mo_560/28/26/0f/07/d4/10/ob-avtomobilnyih-dorogah-i-o-dorozhnoj-deyatelnosti.doc" TargetMode="External"/><Relationship Id="rId17" Type="http://schemas.openxmlformats.org/officeDocument/2006/relationships/hyperlink" Target="http://storage.inovaco.ru/media/project_mo_560/5c/00/fc/38/45/af/prikaz--296-ot-10082020.do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storage.inovaco.ru/media/project_mo_560/47/d1/3e/d3/e0/ce/prikaz-ot-07082020--288.doc" TargetMode="External"/><Relationship Id="rId20" Type="http://schemas.openxmlformats.org/officeDocument/2006/relationships/hyperlink" Target="http://storage.inovaco.ru/media/project_mo_560/03/9f/2e/bf/63/d9/gost-33180-2014-mezhgosudarstvennyij-standart-dorogi-avtomob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orage.inovaco.ru/media/project_mo_560/b3/46/4e/7e/38/dd/o-bezopasnosti-dorozhnogo-dvizheniya.doc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xn--b1abhmjth6azg.xn--p1ai/mun_control/postanovlenie-pravitelstva-rf-ot-01102020-n-1586-ob-utverzhdenii-pravil-perevozok-passazhirov-i-bagazha-avtomobilnyim-transportom-i-gorodskim-nazemnyim-elektricheskim-transportom.doc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xn--b1abhmjth6azg.xn--p1ai/mun_control/federalnyij-zakon-ot-08112007-n-259-fz-ustav-avtomobilnogo-transporta-i-gorodskogo-nazemnogo-elektricheskogo-transporta.docx" TargetMode="External"/><Relationship Id="rId19" Type="http://schemas.openxmlformats.org/officeDocument/2006/relationships/hyperlink" Target="http://storage.inovaco.ru/media/project_mo_560/2c/4e/65/c1/33/bb/gost-33181-2014-mezhgosudarstvennyij-standart-dorogi-avtomob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bhmjth6azg.xn--p1ai/mun_control/gradostroitelnyij-kodeks-rossijskoj-federatsii-ot-29122004-n-190-fz.docx" TargetMode="External"/><Relationship Id="rId14" Type="http://schemas.openxmlformats.org/officeDocument/2006/relationships/hyperlink" Target="http://storage.inovaco.ru/media/project_mo_560/f0/09/96/1f/9d/73/postanovlenie-pravitelstva-rf-ot-28102020--1753.doc" TargetMode="External"/><Relationship Id="rId22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ЖКХ-3</cp:lastModifiedBy>
  <cp:revision>13</cp:revision>
  <cp:lastPrinted>2023-07-03T06:17:00Z</cp:lastPrinted>
  <dcterms:created xsi:type="dcterms:W3CDTF">2023-05-11T12:54:00Z</dcterms:created>
  <dcterms:modified xsi:type="dcterms:W3CDTF">2023-07-03T13:30:00Z</dcterms:modified>
</cp:coreProperties>
</file>