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Сведения о муниципальном долге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Кашинского</w:t>
      </w:r>
      <w:r>
        <w:rPr>
          <w:rFonts w:ascii="Times New Roman" w:hAnsi="Times New Roman"/>
          <w:b w:val="1"/>
          <w:sz w:val="32"/>
        </w:rPr>
        <w:t xml:space="preserve"> городского округа на 1 апреля 2023 г.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6720"/>
        <w:gridCol w:w="2145"/>
      </w:tblGrid>
      <w:tr>
        <w:trPr>
          <w:trHeight w:hRule="atLeast" w:val="1125"/>
        </w:trPr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долга на 01.04.2023 г.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уб.)</w:t>
            </w:r>
          </w:p>
        </w:tc>
      </w:tr>
      <w:tr>
        <w:trPr>
          <w:trHeight w:hRule="atLeast" w:val="821"/>
        </w:trPr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Муниципальный долг</w:t>
            </w:r>
          </w:p>
        </w:tc>
        <w:tc>
          <w:tcPr>
            <w:tcW w:type="dxa" w:w="2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</w:tr>
    </w:tbl>
    <w:p w14:paraId="0C000000">
      <w:pPr>
        <w:ind/>
        <w:jc w:val="center"/>
      </w:pPr>
    </w:p>
    <w:p w14:paraId="0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2023-04-14T05:29:36Z</dcterms:modified>
</cp:coreProperties>
</file>